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header3.xml" ContentType="application/vnd.openxmlformats-officedocument.wordprocessingml.header+xml"/>
  <Override PartName="/word/styles.xml" ContentType="application/vnd.openxmlformats-officedocument.wordprocessingml.styles+xml"/>
  <Override PartName="/word/footer1.xml" ContentType="application/vnd.openxmlformats-officedocument.wordprocessingml.footer+xml"/>
  <Override PartName="/word/footer2.xml" ContentType="application/vnd.openxmlformats-officedocument.wordprocessingml.footer+xml"/>
  <Override PartName="/word/document.xml" ContentType="application/vnd.openxmlformats-officedocument.wordprocessingml.document.main+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before="160" w:after="100"/>
        <w:rPr/>
      </w:pPr>
      <w:r>
        <w:rPr>
          <w:b/>
          <w:bCs/>
          <w:color w:val="111111"/>
          <w:sz w:val="40"/>
          <w:szCs w:val="40"/>
        </w:rPr>
        <w:t>Capital Allocation Proposal: Share Buyback versus a New Mine Build</w:t>
      </w:r>
    </w:p>
    <w:p>
      <w:pPr>
        <w:pStyle w:val="Normal"/>
        <w:spacing w:before="0" w:after="220"/>
        <w:rPr/>
      </w:pPr>
      <w:r>
        <w:rPr>
          <w:color w:val="444444"/>
          <w:sz w:val="23"/>
          <w:szCs w:val="23"/>
        </w:rPr>
        <w:t>A comparison of investing cash into Monument's own shares against building a new mine in Australia or buying another producer.</w:t>
      </w:r>
    </w:p>
    <w:tbl>
      <w:tblPr>
        <w:tblW w:w="10800" w:type="dxa"/>
        <w:jc w:val="start"/>
        <w:tblInd w:w="0" w:type="dxa"/>
        <w:tblLayout w:type="fixed"/>
        <w:tblCellMar>
          <w:top w:w="160" w:type="dxa"/>
          <w:start w:w="220" w:type="dxa"/>
          <w:bottom w:w="160" w:type="dxa"/>
          <w:end w:w="220" w:type="dxa"/>
        </w:tblCellMar>
      </w:tblPr>
      <w:tblGrid>
        <w:gridCol w:w="10800"/>
      </w:tblGrid>
      <w:tr>
        <w:trPr/>
        <w:tc>
          <w:tcPr>
            <w:tcW w:w="10800" w:type="dxa"/>
            <w:tcBorders>
              <w:start w:val="single" w:sz="24" w:space="0" w:color="1B4D3E"/>
            </w:tcBorders>
            <w:shd w:color="auto" w:fill="E8F0EC" w:val="clear"/>
          </w:tcPr>
          <w:p>
            <w:pPr>
              <w:pStyle w:val="Normal"/>
              <w:rPr/>
            </w:pPr>
            <w:r>
              <w:rPr>
                <w:b/>
                <w:bCs/>
                <w:color w:val="1A1A1A"/>
                <w:sz w:val="22"/>
                <w:szCs w:val="22"/>
              </w:rPr>
              <w:t xml:space="preserve">Price notes.  </w:t>
            </w:r>
            <w:r>
              <w:rPr>
                <w:color w:val="1A1A1A"/>
                <w:sz w:val="22"/>
                <w:szCs w:val="22"/>
              </w:rPr>
              <w:t>$0.54 USD is the July 2026 share price at the time the author contacted Monument and proposed that the company begin buying back stock immediately. $0.69 USD is the closing price on 16 September 2026. All figures below are in US dollars unless marked otherwise.</w:t>
            </w:r>
          </w:p>
        </w:tc>
      </w:tr>
    </w:tbl>
    <w:p>
      <w:pPr>
        <w:pStyle w:val="Normal"/>
        <w:spacing w:before="280" w:after="130"/>
        <w:rPr/>
      </w:pPr>
      <w:r>
        <w:rPr>
          <w:b/>
          <w:bCs/>
          <w:color w:val="1B4D3E"/>
          <w:sz w:val="28"/>
          <w:szCs w:val="28"/>
        </w:rPr>
        <w:t>1.  The decision in front of shareholders</w:t>
      </w:r>
    </w:p>
    <w:p>
      <w:pPr>
        <w:pStyle w:val="Normal"/>
        <w:spacing w:before="0" w:after="170"/>
        <w:rPr/>
      </w:pPr>
      <w:r>
        <w:rPr>
          <w:color w:val="1A1A1A"/>
          <w:sz w:val="22"/>
          <w:szCs w:val="22"/>
        </w:rPr>
        <w:t>A proposal to authorize a share buyback has been delivered and is expected to go to shareholders in December. The live alternative is to deploy cash into a mine build in Australia (Burnakura / Murchison) or to buy another producer. Those are not the same investment as buying more of a mine that is already built, already profitable, and already throwing off cash.</w:t>
      </w:r>
    </w:p>
    <w:p>
      <w:pPr>
        <w:pStyle w:val="Normal"/>
        <w:spacing w:before="0" w:after="170"/>
        <w:rPr/>
      </w:pPr>
      <w:r>
        <w:rPr>
          <w:color w:val="1A1A1A"/>
          <w:sz w:val="22"/>
          <w:szCs w:val="22"/>
        </w:rPr>
        <w:t>A buyback multiplies earnings per share because the share count shrinks. Buying a second mine of equal size and value can roughly double earnings, but the share count stays the same. That is why the two strategies are not in the same league.</w:t>
      </w:r>
    </w:p>
    <w:p>
      <w:pPr>
        <w:pStyle w:val="Normal"/>
        <w:spacing w:before="280" w:after="130"/>
        <w:rPr/>
      </w:pPr>
      <w:r>
        <w:rPr>
          <w:b/>
          <w:bCs/>
          <w:color w:val="1B4D3E"/>
          <w:sz w:val="28"/>
          <w:szCs w:val="28"/>
        </w:rPr>
        <w:t>2.  Why a new Australian gold build is a weaker and riskier use of this cash</w:t>
      </w:r>
    </w:p>
    <w:p>
      <w:pPr>
        <w:pStyle w:val="Normal"/>
        <w:spacing w:before="0" w:after="170"/>
        <w:rPr/>
      </w:pPr>
      <w:r>
        <w:rPr>
          <w:color w:val="1A1A1A"/>
          <w:sz w:val="22"/>
          <w:szCs w:val="22"/>
        </w:rPr>
        <w:t xml:space="preserve">Industry evidence is directional, not a census. Only a minority of projects that publish scoping or feasibility studies ever reach production. Of those that are built, a large share miss the study-case IRR after capex inflation, delays, grade shortfalls, and working-capital drain. Only ~20–30% of Australian gold projects aiming for &gt;30,000 oz/year ever reach production, and only ~10–15% ultimately deliver &gt;10% IRR on real, after-capex economics. A 20% after-tax IRR is a strong result, top 10%, not the typical </w:t>
      </w:r>
      <w:r>
        <w:rPr>
          <w:color w:val="1A1A1A"/>
          <w:sz w:val="22"/>
          <w:szCs w:val="22"/>
        </w:rPr>
        <w:t>case</w:t>
      </w:r>
      <w:r>
        <w:rPr>
          <w:color w:val="1A1A1A"/>
          <w:sz w:val="22"/>
          <w:szCs w:val="22"/>
        </w:rPr>
        <w:t>. Many attempts finish at a negative IRR.</w:t>
      </w:r>
    </w:p>
    <w:p>
      <w:pPr>
        <w:pStyle w:val="Normal"/>
        <w:spacing w:before="0" w:after="170"/>
        <w:rPr/>
      </w:pPr>
      <w:r>
        <w:rPr>
          <w:color w:val="1A1A1A"/>
          <w:sz w:val="22"/>
          <w:szCs w:val="22"/>
        </w:rPr>
        <w:t xml:space="preserve">Burnakura is better than a pure greenfield because a 260 ktpa plant and camp already exist. It is still a multi-year capital program with commissioning risk and years of little or no incremental cash, while Selinsing is already generating it. That delay compounds the added risk of getting any return on capital. </w:t>
      </w:r>
      <w:r>
        <w:rPr>
          <w:color w:val="1A1A1A"/>
          <w:sz w:val="22"/>
          <w:szCs w:val="22"/>
        </w:rPr>
        <w:t xml:space="preserve">The mine Monument owns there was below 30,000oz a year.  I can only guess at what it would cost to build a 30K oz mine complex there now. The mine was shut down in 2009, so it is unlikely to be highly profitable. </w:t>
      </w:r>
    </w:p>
    <w:p>
      <w:pPr>
        <w:pStyle w:val="Normal"/>
        <w:spacing w:before="280" w:after="130"/>
        <w:rPr/>
      </w:pPr>
      <w:r>
        <w:rPr>
          <w:b/>
          <w:bCs/>
          <w:color w:val="1B4D3E"/>
          <w:sz w:val="28"/>
          <w:szCs w:val="28"/>
        </w:rPr>
        <w:t>3.  Monument as it stands (run-rate, not trailing)</w:t>
      </w:r>
    </w:p>
    <w:p>
      <w:pPr>
        <w:pStyle w:val="Normal"/>
        <w:spacing w:before="0" w:after="170"/>
        <w:rPr/>
      </w:pPr>
      <w:r>
        <w:rPr>
          <w:color w:val="1A1A1A"/>
          <w:sz w:val="22"/>
          <w:szCs w:val="22"/>
        </w:rPr>
        <w:t>Trailing twelve-month figures understate the live operation. The March 2026 quarter alone printed $22.65 million of net income. This analysis uses a current run-rate of about $25 million a quarter, or $100 million of net income a year ($0.29 per share on 346.3 million shares). Cash and near-cash were $101.76 million at 31 March 2026 and have continued to build. There is effectively no debt. At $0.69 the run-rate P/E is about 2.4x.</w:t>
      </w:r>
    </w:p>
    <w:p>
      <w:pPr>
        <w:pStyle w:val="Normal"/>
        <w:spacing w:before="0" w:after="170"/>
        <w:rPr/>
      </w:pPr>
      <w:r>
        <w:rPr>
          <w:color w:val="1A1A1A"/>
          <w:sz w:val="22"/>
          <w:szCs w:val="22"/>
        </w:rPr>
        <w:t>A 90% buyback at $0.54 costs $168 million and can be funded over two years from cash on hand plus incoming cash, with no debt. A three-year program at a $1.52 blended price, starting at $0.85 in November 2026 and rising toward about $2.80, costs far more per share retired and, at a 90% size, needs modest debt. Nothing else in the gold sector trades at Monument's multiple with the same safety level. "Buy a second Monument" is therefore a hypothetical foil, not a live bid.</w:t>
      </w:r>
    </w:p>
    <w:p>
      <w:pPr>
        <w:pStyle w:val="Normal"/>
        <w:spacing w:before="280" w:after="130"/>
        <w:rPr/>
      </w:pPr>
      <w:r>
        <w:rPr>
          <w:b/>
          <w:bCs/>
          <w:color w:val="1B4D3E"/>
          <w:sz w:val="28"/>
          <w:szCs w:val="28"/>
        </w:rPr>
        <w:t>4.  Comparison chart — plus a typical 20x P/E company (20% buyback, multiple unchanged)</w:t>
      </w:r>
    </w:p>
    <w:p>
      <w:pPr>
        <w:pStyle w:val="Normal"/>
        <w:spacing w:before="0" w:after="140"/>
        <w:rPr/>
      </w:pPr>
      <w:r>
        <w:rPr>
          <w:color w:val="444444"/>
          <w:sz w:val="23"/>
          <w:szCs w:val="23"/>
        </w:rPr>
        <w:t>Monument rows exit at 10x P/E. Typical-company row starts at 20x P/E and stays at 20x. $0.69 is the 16 Sep 2026 close. $0.54 is the July 2026 proposal price.</w:t>
      </w:r>
    </w:p>
    <w:p>
      <w:pPr>
        <w:pStyle w:val="Normal"/>
        <w:spacing w:before="0" w:after="200"/>
        <w:rPr/>
      </w:pPr>
      <w:r>
        <w:rPr>
          <w:color w:val="1A1A1A"/>
          <w:sz w:val="22"/>
          <w:szCs w:val="22"/>
        </w:rPr>
        <w:t>Year-4 exit is 10x earnings on the EPS that each strategy actually produces. The $150 million mine build spends $50 million a year for three years, then in year 4 earns a 20% profit on 30,000 ounces at about $4,350 gold — $26 million of new profit. That is a generous build case, not a failure case.</w:t>
      </w:r>
    </w:p>
    <w:tbl>
      <w:tblPr>
        <w:tblW w:w="10800" w:type="dxa"/>
        <w:jc w:val="start"/>
        <w:tblInd w:w="0" w:type="dxa"/>
        <w:tblLayout w:type="fixed"/>
        <w:tblCellMar>
          <w:top w:w="100" w:type="dxa"/>
          <w:start w:w="100" w:type="dxa"/>
          <w:bottom w:w="100" w:type="dxa"/>
          <w:end w:w="100" w:type="dxa"/>
        </w:tblCellMar>
      </w:tblPr>
      <w:tblGrid>
        <w:gridCol w:w="2000"/>
        <w:gridCol w:w="1749"/>
        <w:gridCol w:w="801"/>
        <w:gridCol w:w="749"/>
        <w:gridCol w:w="901"/>
        <w:gridCol w:w="1099"/>
        <w:gridCol w:w="901"/>
        <w:gridCol w:w="900"/>
        <w:gridCol w:w="899"/>
        <w:gridCol w:w="801"/>
      </w:tblGrid>
      <w:tr>
        <w:trPr>
          <w:tblHeader w:val="true"/>
        </w:trPr>
        <w:tc>
          <w:tcPr>
            <w:tcW w:w="2000" w:type="dxa"/>
            <w:tcBorders>
              <w:top w:val="single" w:sz="4" w:space="0" w:color="1B4D3E"/>
              <w:start w:val="single" w:sz="4" w:space="0" w:color="1B4D3E"/>
              <w:bottom w:val="single" w:sz="4" w:space="0" w:color="1B4D3E"/>
              <w:end w:val="single" w:sz="4" w:space="0" w:color="1B4D3E"/>
            </w:tcBorders>
            <w:shd w:color="auto" w:fill="1B4D3E" w:val="clear"/>
            <w:vAlign w:val="center"/>
          </w:tcPr>
          <w:p>
            <w:pPr>
              <w:pStyle w:val="Normal"/>
              <w:jc w:val="start"/>
              <w:rPr/>
            </w:pPr>
            <w:r>
              <w:rPr>
                <w:b/>
                <w:bCs/>
                <w:color w:val="FFFFFF"/>
                <w:sz w:val="17"/>
                <w:szCs w:val="17"/>
              </w:rPr>
              <w:t>Strategy</w:t>
            </w:r>
          </w:p>
        </w:tc>
        <w:tc>
          <w:tcPr>
            <w:tcW w:w="1749" w:type="dxa"/>
            <w:tcBorders>
              <w:top w:val="single" w:sz="4" w:space="0" w:color="1B4D3E"/>
              <w:start w:val="single" w:sz="4" w:space="0" w:color="1B4D3E"/>
              <w:bottom w:val="single" w:sz="4" w:space="0" w:color="1B4D3E"/>
              <w:end w:val="single" w:sz="4" w:space="0" w:color="1B4D3E"/>
            </w:tcBorders>
            <w:shd w:color="auto" w:fill="1B4D3E" w:val="clear"/>
            <w:vAlign w:val="center"/>
          </w:tcPr>
          <w:p>
            <w:pPr>
              <w:pStyle w:val="Normal"/>
              <w:jc w:val="center"/>
              <w:rPr/>
            </w:pPr>
            <w:r>
              <w:rPr>
                <w:b/>
                <w:bCs/>
                <w:color w:val="FFFFFF"/>
                <w:sz w:val="17"/>
                <w:szCs w:val="17"/>
              </w:rPr>
              <w:t>Cost / structure</w:t>
            </w:r>
          </w:p>
        </w:tc>
        <w:tc>
          <w:tcPr>
            <w:tcW w:w="801" w:type="dxa"/>
            <w:tcBorders>
              <w:top w:val="single" w:sz="4" w:space="0" w:color="1B4D3E"/>
              <w:start w:val="single" w:sz="4" w:space="0" w:color="1B4D3E"/>
              <w:bottom w:val="single" w:sz="4" w:space="0" w:color="1B4D3E"/>
              <w:end w:val="single" w:sz="4" w:space="0" w:color="1B4D3E"/>
            </w:tcBorders>
            <w:shd w:color="auto" w:fill="1B4D3E" w:val="clear"/>
            <w:vAlign w:val="center"/>
          </w:tcPr>
          <w:p>
            <w:pPr>
              <w:pStyle w:val="Normal"/>
              <w:jc w:val="center"/>
              <w:rPr/>
            </w:pPr>
            <w:r>
              <w:rPr>
                <w:b/>
                <w:bCs/>
                <w:color w:val="FFFFFF"/>
                <w:sz w:val="17"/>
                <w:szCs w:val="17"/>
              </w:rPr>
              <w:t>Debt?</w:t>
            </w:r>
          </w:p>
        </w:tc>
        <w:tc>
          <w:tcPr>
            <w:tcW w:w="749" w:type="dxa"/>
            <w:tcBorders>
              <w:top w:val="single" w:sz="4" w:space="0" w:color="1B4D3E"/>
              <w:start w:val="single" w:sz="4" w:space="0" w:color="1B4D3E"/>
              <w:bottom w:val="single" w:sz="4" w:space="0" w:color="1B4D3E"/>
              <w:end w:val="single" w:sz="4" w:space="0" w:color="1B4D3E"/>
            </w:tcBorders>
            <w:shd w:color="auto" w:fill="1B4D3E" w:val="clear"/>
            <w:vAlign w:val="center"/>
          </w:tcPr>
          <w:p>
            <w:pPr>
              <w:pStyle w:val="Normal"/>
              <w:jc w:val="center"/>
              <w:rPr/>
            </w:pPr>
            <w:r>
              <w:rPr>
                <w:b/>
                <w:bCs/>
                <w:color w:val="FFFFFF"/>
                <w:sz w:val="17"/>
                <w:szCs w:val="17"/>
              </w:rPr>
              <w:t>EPS Y4</w:t>
            </w:r>
          </w:p>
        </w:tc>
        <w:tc>
          <w:tcPr>
            <w:tcW w:w="901" w:type="dxa"/>
            <w:tcBorders>
              <w:top w:val="single" w:sz="4" w:space="0" w:color="1B4D3E"/>
              <w:start w:val="single" w:sz="4" w:space="0" w:color="1B4D3E"/>
              <w:bottom w:val="single" w:sz="4" w:space="0" w:color="1B4D3E"/>
              <w:end w:val="single" w:sz="4" w:space="0" w:color="1B4D3E"/>
            </w:tcBorders>
            <w:shd w:color="auto" w:fill="1B4D3E" w:val="clear"/>
            <w:vAlign w:val="center"/>
          </w:tcPr>
          <w:p>
            <w:pPr>
              <w:pStyle w:val="Normal"/>
              <w:jc w:val="center"/>
              <w:rPr/>
            </w:pPr>
            <w:r>
              <w:rPr>
                <w:b/>
                <w:bCs/>
                <w:color w:val="FFFFFF"/>
                <w:sz w:val="17"/>
                <w:szCs w:val="17"/>
              </w:rPr>
              <w:t>Y4 exit price</w:t>
            </w:r>
          </w:p>
        </w:tc>
        <w:tc>
          <w:tcPr>
            <w:tcW w:w="1099" w:type="dxa"/>
            <w:tcBorders>
              <w:top w:val="single" w:sz="4" w:space="0" w:color="1B4D3E"/>
              <w:start w:val="single" w:sz="4" w:space="0" w:color="1B4D3E"/>
              <w:bottom w:val="single" w:sz="4" w:space="0" w:color="1B4D3E"/>
              <w:end w:val="single" w:sz="4" w:space="0" w:color="1B4D3E"/>
            </w:tcBorders>
            <w:shd w:color="auto" w:fill="1B4D3E" w:val="clear"/>
            <w:vAlign w:val="center"/>
          </w:tcPr>
          <w:p>
            <w:pPr>
              <w:pStyle w:val="Normal"/>
              <w:jc w:val="center"/>
              <w:rPr/>
            </w:pPr>
            <w:r>
              <w:rPr>
                <w:b/>
                <w:bCs/>
                <w:color w:val="FFFFFF"/>
                <w:sz w:val="17"/>
                <w:szCs w:val="17"/>
              </w:rPr>
              <w:t>vs $0.69 16 Sep 2026</w:t>
            </w:r>
          </w:p>
        </w:tc>
        <w:tc>
          <w:tcPr>
            <w:tcW w:w="901" w:type="dxa"/>
            <w:tcBorders>
              <w:top w:val="single" w:sz="4" w:space="0" w:color="1B4D3E"/>
              <w:start w:val="single" w:sz="4" w:space="0" w:color="1B4D3E"/>
              <w:bottom w:val="single" w:sz="4" w:space="0" w:color="1B4D3E"/>
              <w:end w:val="single" w:sz="4" w:space="0" w:color="1B4D3E"/>
            </w:tcBorders>
            <w:shd w:color="auto" w:fill="1B4D3E" w:val="clear"/>
            <w:vAlign w:val="center"/>
          </w:tcPr>
          <w:p>
            <w:pPr>
              <w:pStyle w:val="Normal"/>
              <w:jc w:val="center"/>
              <w:rPr/>
            </w:pPr>
            <w:r>
              <w:rPr>
                <w:b/>
                <w:bCs/>
                <w:color w:val="FFFFFF"/>
                <w:sz w:val="17"/>
                <w:szCs w:val="17"/>
              </w:rPr>
              <w:t>4-yr price gain</w:t>
            </w:r>
          </w:p>
        </w:tc>
        <w:tc>
          <w:tcPr>
            <w:tcW w:w="900" w:type="dxa"/>
            <w:tcBorders>
              <w:top w:val="single" w:sz="4" w:space="0" w:color="1B4D3E"/>
              <w:start w:val="single" w:sz="4" w:space="0" w:color="1B4D3E"/>
              <w:bottom w:val="single" w:sz="4" w:space="0" w:color="1B4D3E"/>
              <w:end w:val="single" w:sz="4" w:space="0" w:color="1B4D3E"/>
            </w:tcBorders>
            <w:shd w:color="auto" w:fill="1B4D3E" w:val="clear"/>
            <w:vAlign w:val="center"/>
          </w:tcPr>
          <w:p>
            <w:pPr>
              <w:pStyle w:val="Normal"/>
              <w:jc w:val="center"/>
              <w:rPr/>
            </w:pPr>
            <w:r>
              <w:rPr>
                <w:b/>
                <w:bCs/>
                <w:color w:val="FFFFFF"/>
                <w:sz w:val="17"/>
                <w:szCs w:val="17"/>
              </w:rPr>
              <w:t>4-yr IRR from $0.69</w:t>
            </w:r>
          </w:p>
        </w:tc>
        <w:tc>
          <w:tcPr>
            <w:tcW w:w="899" w:type="dxa"/>
            <w:tcBorders>
              <w:top w:val="single" w:sz="4" w:space="0" w:color="1B4D3E"/>
              <w:start w:val="single" w:sz="4" w:space="0" w:color="1B4D3E"/>
              <w:bottom w:val="single" w:sz="4" w:space="0" w:color="1B4D3E"/>
              <w:end w:val="single" w:sz="4" w:space="0" w:color="1B4D3E"/>
            </w:tcBorders>
            <w:shd w:color="auto" w:fill="1B4D3E" w:val="clear"/>
            <w:vAlign w:val="center"/>
          </w:tcPr>
          <w:p>
            <w:pPr>
              <w:pStyle w:val="Normal"/>
              <w:jc w:val="center"/>
              <w:rPr/>
            </w:pPr>
            <w:r>
              <w:rPr>
                <w:b/>
                <w:bCs/>
                <w:color w:val="FFFFFF"/>
                <w:sz w:val="17"/>
                <w:szCs w:val="17"/>
              </w:rPr>
              <w:t>4-yr IRR from price paid</w:t>
            </w:r>
          </w:p>
        </w:tc>
        <w:tc>
          <w:tcPr>
            <w:tcW w:w="801" w:type="dxa"/>
            <w:tcBorders>
              <w:top w:val="single" w:sz="4" w:space="0" w:color="1B4D3E"/>
              <w:start w:val="single" w:sz="4" w:space="0" w:color="1B4D3E"/>
              <w:bottom w:val="single" w:sz="4" w:space="0" w:color="1B4D3E"/>
              <w:end w:val="single" w:sz="4" w:space="0" w:color="1B4D3E"/>
            </w:tcBorders>
            <w:shd w:color="auto" w:fill="1B4D3E" w:val="clear"/>
            <w:vAlign w:val="center"/>
          </w:tcPr>
          <w:p>
            <w:pPr>
              <w:pStyle w:val="Normal"/>
              <w:jc w:val="center"/>
              <w:rPr/>
            </w:pPr>
            <w:r>
              <w:rPr>
                <w:b/>
                <w:bCs/>
                <w:color w:val="FFFFFF"/>
                <w:sz w:val="17"/>
                <w:szCs w:val="17"/>
              </w:rPr>
              <w:t>Yield on cash spent</w:t>
            </w:r>
            <w:r>
              <w:rPr>
                <w:b/>
                <w:bCs/>
                <w:color w:val="FFFFFF"/>
                <w:sz w:val="17"/>
                <w:szCs w:val="17"/>
              </w:rPr>
              <w:softHyphen/>
            </w:r>
          </w:p>
        </w:tc>
      </w:tr>
      <w:tr>
        <w:trPr/>
        <w:tc>
          <w:tcPr>
            <w:tcW w:w="2000" w:type="dxa"/>
            <w:tcBorders>
              <w:top w:val="single" w:sz="4" w:space="0" w:color="D9E3DE"/>
              <w:start w:val="single" w:sz="4" w:space="0" w:color="D9E3DE"/>
              <w:bottom w:val="single" w:sz="4" w:space="0" w:color="D9E3DE"/>
              <w:end w:val="single" w:sz="4" w:space="0" w:color="D9E3DE"/>
            </w:tcBorders>
            <w:shd w:color="auto" w:fill="FFFFFF" w:val="clear"/>
            <w:tcMar>
              <w:top w:w="90" w:type="dxa"/>
              <w:bottom w:w="90" w:type="dxa"/>
            </w:tcMar>
            <w:vAlign w:val="center"/>
          </w:tcPr>
          <w:p>
            <w:pPr>
              <w:pStyle w:val="Normal"/>
              <w:spacing w:before="0" w:after="20"/>
              <w:jc w:val="start"/>
              <w:rPr/>
            </w:pPr>
            <w:r>
              <w:rPr>
                <w:b/>
                <w:bCs/>
                <w:color w:val="1A1A1A"/>
                <w:sz w:val="17"/>
                <w:szCs w:val="17"/>
              </w:rPr>
              <w:t>Buyback 90%</w:t>
            </w:r>
          </w:p>
          <w:p>
            <w:pPr>
              <w:pStyle w:val="Normal"/>
              <w:spacing w:before="0" w:after="0"/>
              <w:jc w:val="start"/>
              <w:rPr/>
            </w:pPr>
            <w:r>
              <w:rPr>
                <w:b/>
                <w:bCs/>
                <w:color w:val="1A1A1A"/>
                <w:sz w:val="17"/>
                <w:szCs w:val="17"/>
              </w:rPr>
              <w:t>in 2 years</w:t>
            </w:r>
          </w:p>
        </w:tc>
        <w:tc>
          <w:tcPr>
            <w:tcW w:w="1749" w:type="dxa"/>
            <w:tcBorders>
              <w:top w:val="single" w:sz="4" w:space="0" w:color="D9E3DE"/>
              <w:start w:val="single" w:sz="4" w:space="0" w:color="D9E3DE"/>
              <w:bottom w:val="single" w:sz="4" w:space="0" w:color="D9E3DE"/>
              <w:end w:val="single" w:sz="4" w:space="0" w:color="D9E3DE"/>
            </w:tcBorders>
            <w:shd w:color="auto" w:fill="FFFFFF" w:val="clear"/>
            <w:tcMar>
              <w:top w:w="90" w:type="dxa"/>
              <w:bottom w:w="90" w:type="dxa"/>
            </w:tcMar>
            <w:vAlign w:val="center"/>
          </w:tcPr>
          <w:p>
            <w:pPr>
              <w:pStyle w:val="Normal"/>
              <w:spacing w:before="0" w:after="20"/>
              <w:jc w:val="center"/>
              <w:rPr/>
            </w:pPr>
            <w:r>
              <w:rPr>
                <w:b/>
                <w:bCs/>
                <w:color w:val="1A1A1A"/>
                <w:sz w:val="17"/>
                <w:szCs w:val="17"/>
              </w:rPr>
              <w:t>$0.54</w:t>
            </w:r>
          </w:p>
          <w:p>
            <w:pPr>
              <w:pStyle w:val="Normal"/>
              <w:spacing w:before="0" w:after="0"/>
              <w:jc w:val="center"/>
              <w:rPr/>
            </w:pPr>
            <w:r>
              <w:rPr>
                <w:b/>
                <w:bCs/>
                <w:color w:val="1A1A1A"/>
                <w:sz w:val="17"/>
                <w:szCs w:val="17"/>
              </w:rPr>
              <w:t>July 2026 price</w:t>
            </w:r>
          </w:p>
        </w:tc>
        <w:tc>
          <w:tcPr>
            <w:tcW w:w="801" w:type="dxa"/>
            <w:tcBorders>
              <w:top w:val="single" w:sz="4" w:space="0" w:color="D9E3DE"/>
              <w:start w:val="single" w:sz="4" w:space="0" w:color="D9E3DE"/>
              <w:bottom w:val="single" w:sz="4" w:space="0" w:color="D9E3DE"/>
              <w:end w:val="single" w:sz="4" w:space="0" w:color="D9E3DE"/>
            </w:tcBorders>
            <w:shd w:color="auto" w:fill="FFFFFF" w:val="clear"/>
            <w:tcMar>
              <w:top w:w="90" w:type="dxa"/>
              <w:bottom w:w="90" w:type="dxa"/>
            </w:tcMar>
            <w:vAlign w:val="center"/>
          </w:tcPr>
          <w:p>
            <w:pPr>
              <w:pStyle w:val="Normal"/>
              <w:spacing w:before="0" w:after="0"/>
              <w:jc w:val="center"/>
              <w:rPr/>
            </w:pPr>
            <w:r>
              <w:rPr>
                <w:b/>
                <w:bCs/>
                <w:color w:val="1A1A1A"/>
                <w:sz w:val="17"/>
                <w:szCs w:val="17"/>
              </w:rPr>
              <w:t>No</w:t>
            </w:r>
          </w:p>
        </w:tc>
        <w:tc>
          <w:tcPr>
            <w:tcW w:w="749" w:type="dxa"/>
            <w:tcBorders>
              <w:top w:val="single" w:sz="4" w:space="0" w:color="D9E3DE"/>
              <w:start w:val="single" w:sz="4" w:space="0" w:color="D9E3DE"/>
              <w:bottom w:val="single" w:sz="4" w:space="0" w:color="D9E3DE"/>
              <w:end w:val="single" w:sz="4" w:space="0" w:color="D9E3DE"/>
            </w:tcBorders>
            <w:shd w:color="auto" w:fill="FFFFFF" w:val="clear"/>
            <w:tcMar>
              <w:top w:w="90" w:type="dxa"/>
              <w:bottom w:w="90" w:type="dxa"/>
            </w:tcMar>
            <w:vAlign w:val="center"/>
          </w:tcPr>
          <w:p>
            <w:pPr>
              <w:pStyle w:val="Normal"/>
              <w:spacing w:before="0" w:after="0"/>
              <w:jc w:val="center"/>
              <w:rPr/>
            </w:pPr>
            <w:r>
              <w:rPr>
                <w:b/>
                <w:bCs/>
                <w:color w:val="1A1A1A"/>
                <w:sz w:val="17"/>
                <w:szCs w:val="17"/>
              </w:rPr>
              <w:t>$2.89</w:t>
            </w:r>
          </w:p>
        </w:tc>
        <w:tc>
          <w:tcPr>
            <w:tcW w:w="901" w:type="dxa"/>
            <w:tcBorders>
              <w:top w:val="single" w:sz="4" w:space="0" w:color="D9E3DE"/>
              <w:start w:val="single" w:sz="4" w:space="0" w:color="D9E3DE"/>
              <w:bottom w:val="single" w:sz="4" w:space="0" w:color="D9E3DE"/>
              <w:end w:val="single" w:sz="4" w:space="0" w:color="D9E3DE"/>
            </w:tcBorders>
            <w:shd w:color="auto" w:fill="FFFFFF" w:val="clear"/>
            <w:tcMar>
              <w:top w:w="90" w:type="dxa"/>
              <w:bottom w:w="90" w:type="dxa"/>
            </w:tcMar>
            <w:vAlign w:val="center"/>
          </w:tcPr>
          <w:p>
            <w:pPr>
              <w:pStyle w:val="Normal"/>
              <w:spacing w:before="0" w:after="20"/>
              <w:jc w:val="center"/>
              <w:rPr/>
            </w:pPr>
            <w:r>
              <w:rPr>
                <w:b/>
                <w:bCs/>
                <w:color w:val="1A1A1A"/>
                <w:sz w:val="17"/>
                <w:szCs w:val="17"/>
              </w:rPr>
              <w:t>$28.88</w:t>
            </w:r>
          </w:p>
          <w:p>
            <w:pPr>
              <w:pStyle w:val="Normal"/>
              <w:spacing w:before="0" w:after="0"/>
              <w:jc w:val="center"/>
              <w:rPr/>
            </w:pPr>
            <w:r>
              <w:rPr>
                <w:b/>
                <w:bCs/>
                <w:color w:val="1A1A1A"/>
                <w:sz w:val="17"/>
                <w:szCs w:val="17"/>
              </w:rPr>
              <w:t>@ 10 P/E</w:t>
            </w:r>
          </w:p>
        </w:tc>
        <w:tc>
          <w:tcPr>
            <w:tcW w:w="1099" w:type="dxa"/>
            <w:tcBorders>
              <w:top w:val="single" w:sz="4" w:space="0" w:color="D9E3DE"/>
              <w:start w:val="single" w:sz="4" w:space="0" w:color="D9E3DE"/>
              <w:bottom w:val="single" w:sz="4" w:space="0" w:color="D9E3DE"/>
              <w:end w:val="single" w:sz="4" w:space="0" w:color="D9E3DE"/>
            </w:tcBorders>
            <w:shd w:color="auto" w:fill="FFFFFF" w:val="clear"/>
            <w:tcMar>
              <w:top w:w="90" w:type="dxa"/>
              <w:bottom w:w="90" w:type="dxa"/>
            </w:tcMar>
            <w:vAlign w:val="center"/>
          </w:tcPr>
          <w:p>
            <w:pPr>
              <w:pStyle w:val="Normal"/>
              <w:spacing w:before="0" w:after="0"/>
              <w:jc w:val="center"/>
              <w:rPr/>
            </w:pPr>
            <w:r>
              <w:rPr>
                <w:b/>
                <w:bCs/>
                <w:color w:val="1A1A1A"/>
                <w:sz w:val="17"/>
                <w:szCs w:val="17"/>
              </w:rPr>
              <w:t>41.9x</w:t>
            </w:r>
          </w:p>
        </w:tc>
        <w:tc>
          <w:tcPr>
            <w:tcW w:w="901" w:type="dxa"/>
            <w:tcBorders>
              <w:top w:val="single" w:sz="4" w:space="0" w:color="D9E3DE"/>
              <w:start w:val="single" w:sz="4" w:space="0" w:color="D9E3DE"/>
              <w:bottom w:val="single" w:sz="4" w:space="0" w:color="D9E3DE"/>
              <w:end w:val="single" w:sz="4" w:space="0" w:color="D9E3DE"/>
            </w:tcBorders>
            <w:shd w:color="auto" w:fill="FFFFFF" w:val="clear"/>
            <w:tcMar>
              <w:top w:w="90" w:type="dxa"/>
              <w:bottom w:w="90" w:type="dxa"/>
            </w:tcMar>
            <w:vAlign w:val="center"/>
          </w:tcPr>
          <w:p>
            <w:pPr>
              <w:pStyle w:val="Normal"/>
              <w:spacing w:before="0" w:after="0"/>
              <w:jc w:val="center"/>
              <w:rPr/>
            </w:pPr>
            <w:r>
              <w:rPr>
                <w:b/>
                <w:bCs/>
                <w:color w:val="1A1A1A"/>
                <w:sz w:val="17"/>
                <w:szCs w:val="17"/>
              </w:rPr>
              <w:t>4,085%</w:t>
            </w:r>
          </w:p>
        </w:tc>
        <w:tc>
          <w:tcPr>
            <w:tcW w:w="900" w:type="dxa"/>
            <w:tcBorders>
              <w:top w:val="single" w:sz="4" w:space="0" w:color="D9E3DE"/>
              <w:start w:val="single" w:sz="4" w:space="0" w:color="D9E3DE"/>
              <w:bottom w:val="single" w:sz="4" w:space="0" w:color="D9E3DE"/>
              <w:end w:val="single" w:sz="4" w:space="0" w:color="D9E3DE"/>
            </w:tcBorders>
            <w:shd w:color="auto" w:fill="FFFFFF" w:val="clear"/>
            <w:tcMar>
              <w:top w:w="90" w:type="dxa"/>
              <w:bottom w:w="90" w:type="dxa"/>
            </w:tcMar>
            <w:vAlign w:val="center"/>
          </w:tcPr>
          <w:p>
            <w:pPr>
              <w:pStyle w:val="Normal"/>
              <w:spacing w:before="0" w:after="0"/>
              <w:jc w:val="center"/>
              <w:rPr/>
            </w:pPr>
            <w:r>
              <w:rPr>
                <w:b/>
                <w:bCs/>
                <w:color w:val="1A1A1A"/>
                <w:sz w:val="17"/>
                <w:szCs w:val="17"/>
              </w:rPr>
              <w:t>154%/yr</w:t>
            </w:r>
          </w:p>
        </w:tc>
        <w:tc>
          <w:tcPr>
            <w:tcW w:w="899" w:type="dxa"/>
            <w:tcBorders>
              <w:top w:val="single" w:sz="4" w:space="0" w:color="D9E3DE"/>
              <w:start w:val="single" w:sz="4" w:space="0" w:color="D9E3DE"/>
              <w:bottom w:val="single" w:sz="4" w:space="0" w:color="D9E3DE"/>
              <w:end w:val="single" w:sz="4" w:space="0" w:color="D9E3DE"/>
            </w:tcBorders>
            <w:shd w:color="auto" w:fill="FFFFFF" w:val="clear"/>
            <w:tcMar>
              <w:top w:w="90" w:type="dxa"/>
              <w:bottom w:w="90" w:type="dxa"/>
            </w:tcMar>
            <w:vAlign w:val="center"/>
          </w:tcPr>
          <w:p>
            <w:pPr>
              <w:pStyle w:val="Normal"/>
              <w:spacing w:before="0" w:after="0"/>
              <w:jc w:val="center"/>
              <w:rPr/>
            </w:pPr>
            <w:r>
              <w:rPr>
                <w:b/>
                <w:bCs/>
                <w:color w:val="1A1A1A"/>
                <w:sz w:val="17"/>
                <w:szCs w:val="17"/>
              </w:rPr>
              <w:t>170%/yr</w:t>
            </w:r>
          </w:p>
        </w:tc>
        <w:tc>
          <w:tcPr>
            <w:tcW w:w="801" w:type="dxa"/>
            <w:tcBorders>
              <w:top w:val="single" w:sz="4" w:space="0" w:color="D9E3DE"/>
              <w:start w:val="single" w:sz="4" w:space="0" w:color="D9E3DE"/>
              <w:bottom w:val="single" w:sz="4" w:space="0" w:color="D9E3DE"/>
              <w:end w:val="single" w:sz="4" w:space="0" w:color="D9E3DE"/>
            </w:tcBorders>
            <w:shd w:color="auto" w:fill="FFFFFF" w:val="clear"/>
            <w:tcMar>
              <w:top w:w="90" w:type="dxa"/>
              <w:bottom w:w="90" w:type="dxa"/>
            </w:tcMar>
            <w:vAlign w:val="center"/>
          </w:tcPr>
          <w:p>
            <w:pPr>
              <w:pStyle w:val="Normal"/>
              <w:spacing w:before="0" w:after="0"/>
              <w:jc w:val="center"/>
              <w:rPr/>
            </w:pPr>
            <w:r>
              <w:rPr>
                <w:b/>
                <w:bCs/>
                <w:color w:val="1A1A1A"/>
                <w:sz w:val="17"/>
                <w:szCs w:val="17"/>
              </w:rPr>
              <w:t>54%</w:t>
            </w:r>
          </w:p>
        </w:tc>
      </w:tr>
      <w:tr>
        <w:trPr/>
        <w:tc>
          <w:tcPr>
            <w:tcW w:w="2000" w:type="dxa"/>
            <w:tcBorders>
              <w:top w:val="single" w:sz="4" w:space="0" w:color="D9E3DE"/>
              <w:start w:val="single" w:sz="4" w:space="0" w:color="D9E3DE"/>
              <w:bottom w:val="single" w:sz="4" w:space="0" w:color="D9E3DE"/>
              <w:end w:val="single" w:sz="4" w:space="0" w:color="D9E3DE"/>
            </w:tcBorders>
            <w:shd w:color="auto" w:fill="F3F7F5" w:val="clear"/>
            <w:tcMar>
              <w:top w:w="90" w:type="dxa"/>
              <w:bottom w:w="90" w:type="dxa"/>
            </w:tcMar>
            <w:vAlign w:val="center"/>
          </w:tcPr>
          <w:p>
            <w:pPr>
              <w:pStyle w:val="Normal"/>
              <w:spacing w:before="0" w:after="20"/>
              <w:jc w:val="start"/>
              <w:rPr/>
            </w:pPr>
            <w:r>
              <w:rPr>
                <w:b/>
                <w:bCs/>
                <w:color w:val="1A1A1A"/>
                <w:sz w:val="17"/>
                <w:szCs w:val="17"/>
              </w:rPr>
              <w:t>Buyback 90%</w:t>
            </w:r>
          </w:p>
          <w:p>
            <w:pPr>
              <w:pStyle w:val="Normal"/>
              <w:spacing w:before="0" w:after="0"/>
              <w:jc w:val="start"/>
              <w:rPr/>
            </w:pPr>
            <w:r>
              <w:rPr>
                <w:b/>
                <w:bCs/>
                <w:color w:val="1A1A1A"/>
                <w:sz w:val="17"/>
                <w:szCs w:val="17"/>
              </w:rPr>
              <w:t>in 3 years</w:t>
            </w:r>
          </w:p>
        </w:tc>
        <w:tc>
          <w:tcPr>
            <w:tcW w:w="1749" w:type="dxa"/>
            <w:tcBorders>
              <w:top w:val="single" w:sz="4" w:space="0" w:color="D9E3DE"/>
              <w:start w:val="single" w:sz="4" w:space="0" w:color="D9E3DE"/>
              <w:bottom w:val="single" w:sz="4" w:space="0" w:color="D9E3DE"/>
              <w:end w:val="single" w:sz="4" w:space="0" w:color="D9E3DE"/>
            </w:tcBorders>
            <w:shd w:color="auto" w:fill="F3F7F5" w:val="clear"/>
            <w:tcMar>
              <w:top w:w="90" w:type="dxa"/>
              <w:bottom w:w="90" w:type="dxa"/>
            </w:tcMar>
            <w:vAlign w:val="center"/>
          </w:tcPr>
          <w:p>
            <w:pPr>
              <w:pStyle w:val="Normal"/>
              <w:spacing w:before="0" w:after="20"/>
              <w:jc w:val="center"/>
              <w:rPr/>
            </w:pPr>
            <w:r>
              <w:rPr>
                <w:b w:val="false"/>
                <w:bCs w:val="false"/>
                <w:color w:val="1A1A1A"/>
                <w:sz w:val="17"/>
                <w:szCs w:val="17"/>
              </w:rPr>
              <w:t>$1.52 blend</w:t>
            </w:r>
          </w:p>
          <w:p>
            <w:pPr>
              <w:pStyle w:val="Normal"/>
              <w:spacing w:before="0" w:after="0"/>
              <w:jc w:val="center"/>
              <w:rPr/>
            </w:pPr>
            <w:r>
              <w:rPr>
                <w:b w:val="false"/>
                <w:bCs w:val="false"/>
                <w:color w:val="1A1A1A"/>
                <w:sz w:val="17"/>
                <w:szCs w:val="17"/>
              </w:rPr>
              <w:t>$0.85 → $2.80</w:t>
            </w:r>
          </w:p>
        </w:tc>
        <w:tc>
          <w:tcPr>
            <w:tcW w:w="801" w:type="dxa"/>
            <w:tcBorders>
              <w:top w:val="single" w:sz="4" w:space="0" w:color="D9E3DE"/>
              <w:start w:val="single" w:sz="4" w:space="0" w:color="D9E3DE"/>
              <w:bottom w:val="single" w:sz="4" w:space="0" w:color="D9E3DE"/>
              <w:end w:val="single" w:sz="4" w:space="0" w:color="D9E3DE"/>
            </w:tcBorders>
            <w:shd w:color="auto" w:fill="F3F7F5" w:val="clear"/>
            <w:tcMar>
              <w:top w:w="90" w:type="dxa"/>
              <w:bottom w:w="90" w:type="dxa"/>
            </w:tcMar>
            <w:vAlign w:val="center"/>
          </w:tcPr>
          <w:p>
            <w:pPr>
              <w:pStyle w:val="Normal"/>
              <w:spacing w:before="0" w:after="0"/>
              <w:jc w:val="center"/>
              <w:rPr/>
            </w:pPr>
            <w:r>
              <w:rPr>
                <w:b w:val="false"/>
                <w:bCs w:val="false"/>
                <w:color w:val="1A1A1A"/>
                <w:sz w:val="17"/>
                <w:szCs w:val="17"/>
              </w:rPr>
              <w:t>Yes</w:t>
            </w:r>
          </w:p>
        </w:tc>
        <w:tc>
          <w:tcPr>
            <w:tcW w:w="749" w:type="dxa"/>
            <w:tcBorders>
              <w:top w:val="single" w:sz="4" w:space="0" w:color="D9E3DE"/>
              <w:start w:val="single" w:sz="4" w:space="0" w:color="D9E3DE"/>
              <w:bottom w:val="single" w:sz="4" w:space="0" w:color="D9E3DE"/>
              <w:end w:val="single" w:sz="4" w:space="0" w:color="D9E3DE"/>
            </w:tcBorders>
            <w:shd w:color="auto" w:fill="F3F7F5" w:val="clear"/>
            <w:tcMar>
              <w:top w:w="90" w:type="dxa"/>
              <w:bottom w:w="90" w:type="dxa"/>
            </w:tcMar>
            <w:vAlign w:val="center"/>
          </w:tcPr>
          <w:p>
            <w:pPr>
              <w:pStyle w:val="Normal"/>
              <w:spacing w:before="0" w:after="0"/>
              <w:jc w:val="center"/>
              <w:rPr/>
            </w:pPr>
            <w:r>
              <w:rPr>
                <w:b w:val="false"/>
                <w:bCs w:val="false"/>
                <w:color w:val="1A1A1A"/>
                <w:sz w:val="17"/>
                <w:szCs w:val="17"/>
              </w:rPr>
              <w:t>$2.71</w:t>
            </w:r>
          </w:p>
        </w:tc>
        <w:tc>
          <w:tcPr>
            <w:tcW w:w="901" w:type="dxa"/>
            <w:tcBorders>
              <w:top w:val="single" w:sz="4" w:space="0" w:color="D9E3DE"/>
              <w:start w:val="single" w:sz="4" w:space="0" w:color="D9E3DE"/>
              <w:bottom w:val="single" w:sz="4" w:space="0" w:color="D9E3DE"/>
              <w:end w:val="single" w:sz="4" w:space="0" w:color="D9E3DE"/>
            </w:tcBorders>
            <w:shd w:color="auto" w:fill="F3F7F5" w:val="clear"/>
            <w:tcMar>
              <w:top w:w="90" w:type="dxa"/>
              <w:bottom w:w="90" w:type="dxa"/>
            </w:tcMar>
            <w:vAlign w:val="center"/>
          </w:tcPr>
          <w:p>
            <w:pPr>
              <w:pStyle w:val="Normal"/>
              <w:spacing w:before="0" w:after="20"/>
              <w:jc w:val="center"/>
              <w:rPr/>
            </w:pPr>
            <w:r>
              <w:rPr>
                <w:b w:val="false"/>
                <w:bCs w:val="false"/>
                <w:color w:val="1A1A1A"/>
                <w:sz w:val="17"/>
                <w:szCs w:val="17"/>
              </w:rPr>
              <w:t>$27.14</w:t>
            </w:r>
          </w:p>
          <w:p>
            <w:pPr>
              <w:pStyle w:val="Normal"/>
              <w:spacing w:before="0" w:after="0"/>
              <w:jc w:val="center"/>
              <w:rPr/>
            </w:pPr>
            <w:r>
              <w:rPr>
                <w:b w:val="false"/>
                <w:bCs w:val="false"/>
                <w:color w:val="1A1A1A"/>
                <w:sz w:val="17"/>
                <w:szCs w:val="17"/>
              </w:rPr>
              <w:t>@ 10 P/E</w:t>
            </w:r>
          </w:p>
        </w:tc>
        <w:tc>
          <w:tcPr>
            <w:tcW w:w="1099" w:type="dxa"/>
            <w:tcBorders>
              <w:top w:val="single" w:sz="4" w:space="0" w:color="D9E3DE"/>
              <w:start w:val="single" w:sz="4" w:space="0" w:color="D9E3DE"/>
              <w:bottom w:val="single" w:sz="4" w:space="0" w:color="D9E3DE"/>
              <w:end w:val="single" w:sz="4" w:space="0" w:color="D9E3DE"/>
            </w:tcBorders>
            <w:shd w:color="auto" w:fill="F3F7F5" w:val="clear"/>
            <w:tcMar>
              <w:top w:w="90" w:type="dxa"/>
              <w:bottom w:w="90" w:type="dxa"/>
            </w:tcMar>
            <w:vAlign w:val="center"/>
          </w:tcPr>
          <w:p>
            <w:pPr>
              <w:pStyle w:val="Normal"/>
              <w:spacing w:before="0" w:after="0"/>
              <w:jc w:val="center"/>
              <w:rPr/>
            </w:pPr>
            <w:r>
              <w:rPr>
                <w:b w:val="false"/>
                <w:bCs w:val="false"/>
                <w:color w:val="1A1A1A"/>
                <w:sz w:val="17"/>
                <w:szCs w:val="17"/>
              </w:rPr>
              <w:t>39.3x</w:t>
            </w:r>
          </w:p>
        </w:tc>
        <w:tc>
          <w:tcPr>
            <w:tcW w:w="901" w:type="dxa"/>
            <w:tcBorders>
              <w:top w:val="single" w:sz="4" w:space="0" w:color="D9E3DE"/>
              <w:start w:val="single" w:sz="4" w:space="0" w:color="D9E3DE"/>
              <w:bottom w:val="single" w:sz="4" w:space="0" w:color="D9E3DE"/>
              <w:end w:val="single" w:sz="4" w:space="0" w:color="D9E3DE"/>
            </w:tcBorders>
            <w:shd w:color="auto" w:fill="F3F7F5" w:val="clear"/>
            <w:tcMar>
              <w:top w:w="90" w:type="dxa"/>
              <w:bottom w:w="90" w:type="dxa"/>
            </w:tcMar>
            <w:vAlign w:val="center"/>
          </w:tcPr>
          <w:p>
            <w:pPr>
              <w:pStyle w:val="Normal"/>
              <w:spacing w:before="0" w:after="0"/>
              <w:jc w:val="center"/>
              <w:rPr/>
            </w:pPr>
            <w:r>
              <w:rPr>
                <w:b w:val="false"/>
                <w:bCs w:val="false"/>
                <w:color w:val="1A1A1A"/>
                <w:sz w:val="17"/>
                <w:szCs w:val="17"/>
              </w:rPr>
              <w:t>3,834%</w:t>
            </w:r>
          </w:p>
        </w:tc>
        <w:tc>
          <w:tcPr>
            <w:tcW w:w="900" w:type="dxa"/>
            <w:tcBorders>
              <w:top w:val="single" w:sz="4" w:space="0" w:color="D9E3DE"/>
              <w:start w:val="single" w:sz="4" w:space="0" w:color="D9E3DE"/>
              <w:bottom w:val="single" w:sz="4" w:space="0" w:color="D9E3DE"/>
              <w:end w:val="single" w:sz="4" w:space="0" w:color="D9E3DE"/>
            </w:tcBorders>
            <w:shd w:color="auto" w:fill="F3F7F5" w:val="clear"/>
            <w:tcMar>
              <w:top w:w="90" w:type="dxa"/>
              <w:bottom w:w="90" w:type="dxa"/>
            </w:tcMar>
            <w:vAlign w:val="center"/>
          </w:tcPr>
          <w:p>
            <w:pPr>
              <w:pStyle w:val="Normal"/>
              <w:spacing w:before="0" w:after="0"/>
              <w:jc w:val="center"/>
              <w:rPr/>
            </w:pPr>
            <w:r>
              <w:rPr>
                <w:b w:val="false"/>
                <w:bCs w:val="false"/>
                <w:color w:val="1A1A1A"/>
                <w:sz w:val="17"/>
                <w:szCs w:val="17"/>
              </w:rPr>
              <w:t>150%/yr</w:t>
            </w:r>
          </w:p>
        </w:tc>
        <w:tc>
          <w:tcPr>
            <w:tcW w:w="899" w:type="dxa"/>
            <w:tcBorders>
              <w:top w:val="single" w:sz="4" w:space="0" w:color="D9E3DE"/>
              <w:start w:val="single" w:sz="4" w:space="0" w:color="D9E3DE"/>
              <w:bottom w:val="single" w:sz="4" w:space="0" w:color="D9E3DE"/>
              <w:end w:val="single" w:sz="4" w:space="0" w:color="D9E3DE"/>
            </w:tcBorders>
            <w:shd w:color="auto" w:fill="F3F7F5" w:val="clear"/>
            <w:tcMar>
              <w:top w:w="90" w:type="dxa"/>
              <w:bottom w:w="90" w:type="dxa"/>
            </w:tcMar>
            <w:vAlign w:val="center"/>
          </w:tcPr>
          <w:p>
            <w:pPr>
              <w:pStyle w:val="Normal"/>
              <w:spacing w:before="0" w:after="0"/>
              <w:jc w:val="center"/>
              <w:rPr/>
            </w:pPr>
            <w:r>
              <w:rPr>
                <w:b w:val="false"/>
                <w:bCs w:val="false"/>
                <w:color w:val="1A1A1A"/>
                <w:sz w:val="17"/>
                <w:szCs w:val="17"/>
              </w:rPr>
              <w:t>106%/yr</w:t>
            </w:r>
          </w:p>
        </w:tc>
        <w:tc>
          <w:tcPr>
            <w:tcW w:w="801" w:type="dxa"/>
            <w:tcBorders>
              <w:top w:val="single" w:sz="4" w:space="0" w:color="D9E3DE"/>
              <w:start w:val="single" w:sz="4" w:space="0" w:color="D9E3DE"/>
              <w:bottom w:val="single" w:sz="4" w:space="0" w:color="D9E3DE"/>
              <w:end w:val="single" w:sz="4" w:space="0" w:color="D9E3DE"/>
            </w:tcBorders>
            <w:shd w:color="auto" w:fill="F3F7F5" w:val="clear"/>
            <w:tcMar>
              <w:top w:w="90" w:type="dxa"/>
              <w:bottom w:w="90" w:type="dxa"/>
            </w:tcMar>
            <w:vAlign w:val="center"/>
          </w:tcPr>
          <w:p>
            <w:pPr>
              <w:pStyle w:val="Normal"/>
              <w:spacing w:before="0" w:after="0"/>
              <w:jc w:val="center"/>
              <w:rPr/>
            </w:pPr>
            <w:r>
              <w:rPr>
                <w:b w:val="false"/>
                <w:bCs w:val="false"/>
                <w:color w:val="1A1A1A"/>
                <w:sz w:val="17"/>
                <w:szCs w:val="17"/>
              </w:rPr>
              <w:t>19%</w:t>
            </w:r>
          </w:p>
        </w:tc>
      </w:tr>
      <w:tr>
        <w:trPr/>
        <w:tc>
          <w:tcPr>
            <w:tcW w:w="2000" w:type="dxa"/>
            <w:tcBorders>
              <w:top w:val="single" w:sz="4" w:space="0" w:color="D9E3DE"/>
              <w:start w:val="single" w:sz="4" w:space="0" w:color="D9E3DE"/>
              <w:bottom w:val="single" w:sz="4" w:space="0" w:color="D9E3DE"/>
              <w:end w:val="single" w:sz="4" w:space="0" w:color="D9E3DE"/>
            </w:tcBorders>
            <w:shd w:color="auto" w:fill="FFFFFF" w:val="clear"/>
            <w:tcMar>
              <w:top w:w="90" w:type="dxa"/>
              <w:bottom w:w="90" w:type="dxa"/>
            </w:tcMar>
            <w:vAlign w:val="center"/>
          </w:tcPr>
          <w:p>
            <w:pPr>
              <w:pStyle w:val="Normal"/>
              <w:spacing w:before="0" w:after="20"/>
              <w:jc w:val="start"/>
              <w:rPr/>
            </w:pPr>
            <w:r>
              <w:rPr>
                <w:b/>
                <w:bCs/>
                <w:color w:val="1A1A1A"/>
                <w:sz w:val="17"/>
                <w:szCs w:val="17"/>
              </w:rPr>
              <w:t>Buyback 70%</w:t>
            </w:r>
          </w:p>
          <w:p>
            <w:pPr>
              <w:pStyle w:val="Normal"/>
              <w:spacing w:before="0" w:after="0"/>
              <w:jc w:val="start"/>
              <w:rPr/>
            </w:pPr>
            <w:r>
              <w:rPr>
                <w:b/>
                <w:bCs/>
                <w:color w:val="1A1A1A"/>
                <w:sz w:val="17"/>
                <w:szCs w:val="17"/>
              </w:rPr>
              <w:t>17 / 20 / 20 / 13</w:t>
            </w:r>
          </w:p>
        </w:tc>
        <w:tc>
          <w:tcPr>
            <w:tcW w:w="1749" w:type="dxa"/>
            <w:tcBorders>
              <w:top w:val="single" w:sz="4" w:space="0" w:color="D9E3DE"/>
              <w:start w:val="single" w:sz="4" w:space="0" w:color="D9E3DE"/>
              <w:bottom w:val="single" w:sz="4" w:space="0" w:color="D9E3DE"/>
              <w:end w:val="single" w:sz="4" w:space="0" w:color="D9E3DE"/>
            </w:tcBorders>
            <w:shd w:color="auto" w:fill="FFFFFF" w:val="clear"/>
            <w:tcMar>
              <w:top w:w="90" w:type="dxa"/>
              <w:bottom w:w="90" w:type="dxa"/>
            </w:tcMar>
            <w:vAlign w:val="center"/>
          </w:tcPr>
          <w:p>
            <w:pPr>
              <w:pStyle w:val="Normal"/>
              <w:spacing w:before="0" w:after="20"/>
              <w:jc w:val="center"/>
              <w:rPr/>
            </w:pPr>
            <w:r>
              <w:rPr>
                <w:b w:val="false"/>
                <w:bCs w:val="false"/>
                <w:color w:val="1A1A1A"/>
                <w:sz w:val="17"/>
                <w:szCs w:val="17"/>
              </w:rPr>
              <w:t>$1.52 blend</w:t>
            </w:r>
          </w:p>
          <w:p>
            <w:pPr>
              <w:pStyle w:val="Normal"/>
              <w:spacing w:before="0" w:after="0"/>
              <w:jc w:val="center"/>
              <w:rPr/>
            </w:pPr>
            <w:r>
              <w:rPr>
                <w:b w:val="false"/>
                <w:bCs w:val="false"/>
                <w:color w:val="1A1A1A"/>
                <w:sz w:val="17"/>
                <w:szCs w:val="17"/>
              </w:rPr>
              <w:t>$0.85 → $2.80</w:t>
            </w:r>
          </w:p>
        </w:tc>
        <w:tc>
          <w:tcPr>
            <w:tcW w:w="801" w:type="dxa"/>
            <w:tcBorders>
              <w:top w:val="single" w:sz="4" w:space="0" w:color="D9E3DE"/>
              <w:start w:val="single" w:sz="4" w:space="0" w:color="D9E3DE"/>
              <w:bottom w:val="single" w:sz="4" w:space="0" w:color="D9E3DE"/>
              <w:end w:val="single" w:sz="4" w:space="0" w:color="D9E3DE"/>
            </w:tcBorders>
            <w:shd w:color="auto" w:fill="FFFFFF" w:val="clear"/>
            <w:tcMar>
              <w:top w:w="90" w:type="dxa"/>
              <w:bottom w:w="90" w:type="dxa"/>
            </w:tcMar>
            <w:vAlign w:val="center"/>
          </w:tcPr>
          <w:p>
            <w:pPr>
              <w:pStyle w:val="Normal"/>
              <w:spacing w:before="0" w:after="0"/>
              <w:jc w:val="center"/>
              <w:rPr/>
            </w:pPr>
            <w:r>
              <w:rPr>
                <w:b w:val="false"/>
                <w:bCs w:val="false"/>
                <w:color w:val="1A1A1A"/>
                <w:sz w:val="17"/>
                <w:szCs w:val="17"/>
              </w:rPr>
              <w:t>No</w:t>
            </w:r>
          </w:p>
        </w:tc>
        <w:tc>
          <w:tcPr>
            <w:tcW w:w="749" w:type="dxa"/>
            <w:tcBorders>
              <w:top w:val="single" w:sz="4" w:space="0" w:color="D9E3DE"/>
              <w:start w:val="single" w:sz="4" w:space="0" w:color="D9E3DE"/>
              <w:bottom w:val="single" w:sz="4" w:space="0" w:color="D9E3DE"/>
              <w:end w:val="single" w:sz="4" w:space="0" w:color="D9E3DE"/>
            </w:tcBorders>
            <w:shd w:color="auto" w:fill="FFFFFF" w:val="clear"/>
            <w:tcMar>
              <w:top w:w="90" w:type="dxa"/>
              <w:bottom w:w="90" w:type="dxa"/>
            </w:tcMar>
            <w:vAlign w:val="center"/>
          </w:tcPr>
          <w:p>
            <w:pPr>
              <w:pStyle w:val="Normal"/>
              <w:spacing w:before="0" w:after="0"/>
              <w:jc w:val="center"/>
              <w:rPr/>
            </w:pPr>
            <w:r>
              <w:rPr>
                <w:b w:val="false"/>
                <w:bCs w:val="false"/>
                <w:color w:val="1A1A1A"/>
                <w:sz w:val="17"/>
                <w:szCs w:val="17"/>
              </w:rPr>
              <w:t>$0.92</w:t>
            </w:r>
          </w:p>
        </w:tc>
        <w:tc>
          <w:tcPr>
            <w:tcW w:w="901" w:type="dxa"/>
            <w:tcBorders>
              <w:top w:val="single" w:sz="4" w:space="0" w:color="D9E3DE"/>
              <w:start w:val="single" w:sz="4" w:space="0" w:color="D9E3DE"/>
              <w:bottom w:val="single" w:sz="4" w:space="0" w:color="D9E3DE"/>
              <w:end w:val="single" w:sz="4" w:space="0" w:color="D9E3DE"/>
            </w:tcBorders>
            <w:shd w:color="auto" w:fill="FFFFFF" w:val="clear"/>
            <w:tcMar>
              <w:top w:w="90" w:type="dxa"/>
              <w:bottom w:w="90" w:type="dxa"/>
            </w:tcMar>
            <w:vAlign w:val="center"/>
          </w:tcPr>
          <w:p>
            <w:pPr>
              <w:pStyle w:val="Normal"/>
              <w:spacing w:before="0" w:after="20"/>
              <w:jc w:val="center"/>
              <w:rPr/>
            </w:pPr>
            <w:r>
              <w:rPr>
                <w:b w:val="false"/>
                <w:bCs w:val="false"/>
                <w:color w:val="1A1A1A"/>
                <w:sz w:val="17"/>
                <w:szCs w:val="17"/>
              </w:rPr>
              <w:t>$9.24</w:t>
            </w:r>
          </w:p>
          <w:p>
            <w:pPr>
              <w:pStyle w:val="Normal"/>
              <w:spacing w:before="0" w:after="0"/>
              <w:jc w:val="center"/>
              <w:rPr/>
            </w:pPr>
            <w:r>
              <w:rPr>
                <w:b w:val="false"/>
                <w:bCs w:val="false"/>
                <w:color w:val="1A1A1A"/>
                <w:sz w:val="17"/>
                <w:szCs w:val="17"/>
              </w:rPr>
              <w:t>@ 10 P/E</w:t>
            </w:r>
          </w:p>
        </w:tc>
        <w:tc>
          <w:tcPr>
            <w:tcW w:w="1099" w:type="dxa"/>
            <w:tcBorders>
              <w:top w:val="single" w:sz="4" w:space="0" w:color="D9E3DE"/>
              <w:start w:val="single" w:sz="4" w:space="0" w:color="D9E3DE"/>
              <w:bottom w:val="single" w:sz="4" w:space="0" w:color="D9E3DE"/>
              <w:end w:val="single" w:sz="4" w:space="0" w:color="D9E3DE"/>
            </w:tcBorders>
            <w:shd w:color="auto" w:fill="FFFFFF" w:val="clear"/>
            <w:tcMar>
              <w:top w:w="90" w:type="dxa"/>
              <w:bottom w:w="90" w:type="dxa"/>
            </w:tcMar>
            <w:vAlign w:val="center"/>
          </w:tcPr>
          <w:p>
            <w:pPr>
              <w:pStyle w:val="Normal"/>
              <w:spacing w:before="0" w:after="0"/>
              <w:jc w:val="center"/>
              <w:rPr/>
            </w:pPr>
            <w:r>
              <w:rPr>
                <w:b w:val="false"/>
                <w:bCs w:val="false"/>
                <w:color w:val="1A1A1A"/>
                <w:sz w:val="17"/>
                <w:szCs w:val="17"/>
              </w:rPr>
              <w:t>13.4x</w:t>
            </w:r>
          </w:p>
        </w:tc>
        <w:tc>
          <w:tcPr>
            <w:tcW w:w="901" w:type="dxa"/>
            <w:tcBorders>
              <w:top w:val="single" w:sz="4" w:space="0" w:color="D9E3DE"/>
              <w:start w:val="single" w:sz="4" w:space="0" w:color="D9E3DE"/>
              <w:bottom w:val="single" w:sz="4" w:space="0" w:color="D9E3DE"/>
              <w:end w:val="single" w:sz="4" w:space="0" w:color="D9E3DE"/>
            </w:tcBorders>
            <w:shd w:color="auto" w:fill="FFFFFF" w:val="clear"/>
            <w:tcMar>
              <w:top w:w="90" w:type="dxa"/>
              <w:bottom w:w="90" w:type="dxa"/>
            </w:tcMar>
            <w:vAlign w:val="center"/>
          </w:tcPr>
          <w:p>
            <w:pPr>
              <w:pStyle w:val="Normal"/>
              <w:spacing w:before="0" w:after="0"/>
              <w:jc w:val="center"/>
              <w:rPr/>
            </w:pPr>
            <w:r>
              <w:rPr>
                <w:b w:val="false"/>
                <w:bCs w:val="false"/>
                <w:color w:val="1A1A1A"/>
                <w:sz w:val="17"/>
                <w:szCs w:val="17"/>
              </w:rPr>
              <w:t>1,239%</w:t>
            </w:r>
          </w:p>
        </w:tc>
        <w:tc>
          <w:tcPr>
            <w:tcW w:w="900" w:type="dxa"/>
            <w:tcBorders>
              <w:top w:val="single" w:sz="4" w:space="0" w:color="D9E3DE"/>
              <w:start w:val="single" w:sz="4" w:space="0" w:color="D9E3DE"/>
              <w:bottom w:val="single" w:sz="4" w:space="0" w:color="D9E3DE"/>
              <w:end w:val="single" w:sz="4" w:space="0" w:color="D9E3DE"/>
            </w:tcBorders>
            <w:shd w:color="auto" w:fill="FFFFFF" w:val="clear"/>
            <w:tcMar>
              <w:top w:w="90" w:type="dxa"/>
              <w:bottom w:w="90" w:type="dxa"/>
            </w:tcMar>
            <w:vAlign w:val="center"/>
          </w:tcPr>
          <w:p>
            <w:pPr>
              <w:pStyle w:val="Normal"/>
              <w:spacing w:before="0" w:after="0"/>
              <w:jc w:val="center"/>
              <w:rPr/>
            </w:pPr>
            <w:r>
              <w:rPr>
                <w:b w:val="false"/>
                <w:bCs w:val="false"/>
                <w:color w:val="1A1A1A"/>
                <w:sz w:val="17"/>
                <w:szCs w:val="17"/>
              </w:rPr>
              <w:t>91%/yr</w:t>
            </w:r>
          </w:p>
        </w:tc>
        <w:tc>
          <w:tcPr>
            <w:tcW w:w="899" w:type="dxa"/>
            <w:tcBorders>
              <w:top w:val="single" w:sz="4" w:space="0" w:color="D9E3DE"/>
              <w:start w:val="single" w:sz="4" w:space="0" w:color="D9E3DE"/>
              <w:bottom w:val="single" w:sz="4" w:space="0" w:color="D9E3DE"/>
              <w:end w:val="single" w:sz="4" w:space="0" w:color="D9E3DE"/>
            </w:tcBorders>
            <w:shd w:color="auto" w:fill="FFFFFF" w:val="clear"/>
            <w:tcMar>
              <w:top w:w="90" w:type="dxa"/>
              <w:bottom w:w="90" w:type="dxa"/>
            </w:tcMar>
            <w:vAlign w:val="center"/>
          </w:tcPr>
          <w:p>
            <w:pPr>
              <w:pStyle w:val="Normal"/>
              <w:spacing w:before="0" w:after="0"/>
              <w:jc w:val="center"/>
              <w:rPr/>
            </w:pPr>
            <w:r>
              <w:rPr>
                <w:b w:val="false"/>
                <w:bCs w:val="false"/>
                <w:color w:val="1A1A1A"/>
                <w:sz w:val="17"/>
                <w:szCs w:val="17"/>
              </w:rPr>
              <w:t>57%/yr</w:t>
            </w:r>
          </w:p>
        </w:tc>
        <w:tc>
          <w:tcPr>
            <w:tcW w:w="801" w:type="dxa"/>
            <w:tcBorders>
              <w:top w:val="single" w:sz="4" w:space="0" w:color="D9E3DE"/>
              <w:start w:val="single" w:sz="4" w:space="0" w:color="D9E3DE"/>
              <w:bottom w:val="single" w:sz="4" w:space="0" w:color="D9E3DE"/>
              <w:end w:val="single" w:sz="4" w:space="0" w:color="D9E3DE"/>
            </w:tcBorders>
            <w:shd w:color="auto" w:fill="FFFFFF" w:val="clear"/>
            <w:tcMar>
              <w:top w:w="90" w:type="dxa"/>
              <w:bottom w:w="90" w:type="dxa"/>
            </w:tcMar>
            <w:vAlign w:val="center"/>
          </w:tcPr>
          <w:p>
            <w:pPr>
              <w:pStyle w:val="Normal"/>
              <w:spacing w:before="0" w:after="0"/>
              <w:jc w:val="center"/>
              <w:rPr/>
            </w:pPr>
            <w:r>
              <w:rPr>
                <w:b w:val="false"/>
                <w:bCs w:val="false"/>
                <w:color w:val="1A1A1A"/>
                <w:sz w:val="17"/>
                <w:szCs w:val="17"/>
              </w:rPr>
              <w:t>19%</w:t>
            </w:r>
          </w:p>
        </w:tc>
      </w:tr>
      <w:tr>
        <w:trPr/>
        <w:tc>
          <w:tcPr>
            <w:tcW w:w="2000" w:type="dxa"/>
            <w:tcBorders>
              <w:top w:val="single" w:sz="4" w:space="0" w:color="D9E3DE"/>
              <w:start w:val="single" w:sz="4" w:space="0" w:color="D9E3DE"/>
              <w:bottom w:val="single" w:sz="4" w:space="0" w:color="D9E3DE"/>
              <w:end w:val="single" w:sz="4" w:space="0" w:color="D9E3DE"/>
            </w:tcBorders>
            <w:shd w:color="auto" w:fill="F3F7F5" w:val="clear"/>
            <w:tcMar>
              <w:top w:w="90" w:type="dxa"/>
              <w:bottom w:w="90" w:type="dxa"/>
            </w:tcMar>
            <w:vAlign w:val="center"/>
          </w:tcPr>
          <w:p>
            <w:pPr>
              <w:pStyle w:val="Normal"/>
              <w:spacing w:before="0" w:after="20"/>
              <w:jc w:val="start"/>
              <w:rPr/>
            </w:pPr>
            <w:r>
              <w:rPr>
                <w:b/>
                <w:bCs/>
                <w:color w:val="1A1A1A"/>
                <w:sz w:val="17"/>
                <w:szCs w:val="17"/>
              </w:rPr>
              <w:t>Buy a 2nd Monument</w:t>
            </w:r>
          </w:p>
          <w:p>
            <w:pPr>
              <w:pStyle w:val="Normal"/>
              <w:spacing w:before="0" w:after="0"/>
              <w:jc w:val="start"/>
              <w:rPr/>
            </w:pPr>
            <w:r>
              <w:rPr>
                <w:b/>
                <w:bCs/>
                <w:color w:val="1A1A1A"/>
                <w:sz w:val="17"/>
                <w:szCs w:val="17"/>
              </w:rPr>
              <w:t>at $0.69</w:t>
            </w:r>
          </w:p>
        </w:tc>
        <w:tc>
          <w:tcPr>
            <w:tcW w:w="1749" w:type="dxa"/>
            <w:tcBorders>
              <w:top w:val="single" w:sz="4" w:space="0" w:color="D9E3DE"/>
              <w:start w:val="single" w:sz="4" w:space="0" w:color="D9E3DE"/>
              <w:bottom w:val="single" w:sz="4" w:space="0" w:color="D9E3DE"/>
              <w:end w:val="single" w:sz="4" w:space="0" w:color="D9E3DE"/>
            </w:tcBorders>
            <w:shd w:color="auto" w:fill="F3F7F5" w:val="clear"/>
            <w:tcMar>
              <w:top w:w="90" w:type="dxa"/>
              <w:bottom w:w="90" w:type="dxa"/>
            </w:tcMar>
            <w:vAlign w:val="center"/>
          </w:tcPr>
          <w:p>
            <w:pPr>
              <w:pStyle w:val="Normal"/>
              <w:spacing w:before="0" w:after="0"/>
              <w:jc w:val="center"/>
              <w:rPr/>
            </w:pPr>
            <w:r>
              <w:rPr>
                <w:b w:val="false"/>
                <w:bCs w:val="false"/>
                <w:color w:val="1A1A1A"/>
                <w:sz w:val="17"/>
                <w:szCs w:val="17"/>
              </w:rPr>
              <w:t>$239 million</w:t>
            </w:r>
          </w:p>
        </w:tc>
        <w:tc>
          <w:tcPr>
            <w:tcW w:w="801" w:type="dxa"/>
            <w:tcBorders>
              <w:top w:val="single" w:sz="4" w:space="0" w:color="D9E3DE"/>
              <w:start w:val="single" w:sz="4" w:space="0" w:color="D9E3DE"/>
              <w:bottom w:val="single" w:sz="4" w:space="0" w:color="D9E3DE"/>
              <w:end w:val="single" w:sz="4" w:space="0" w:color="D9E3DE"/>
            </w:tcBorders>
            <w:shd w:color="auto" w:fill="F3F7F5" w:val="clear"/>
            <w:tcMar>
              <w:top w:w="90" w:type="dxa"/>
              <w:bottom w:w="90" w:type="dxa"/>
            </w:tcMar>
            <w:vAlign w:val="center"/>
          </w:tcPr>
          <w:p>
            <w:pPr>
              <w:pStyle w:val="Normal"/>
              <w:spacing w:before="0" w:after="20"/>
              <w:jc w:val="center"/>
              <w:rPr/>
            </w:pPr>
            <w:r>
              <w:rPr>
                <w:b w:val="false"/>
                <w:bCs w:val="false"/>
                <w:color w:val="1A1A1A"/>
                <w:sz w:val="17"/>
                <w:szCs w:val="17"/>
              </w:rPr>
              <w:t>Yes</w:t>
            </w:r>
          </w:p>
          <w:p>
            <w:pPr>
              <w:pStyle w:val="Normal"/>
              <w:spacing w:before="0" w:after="0"/>
              <w:jc w:val="center"/>
              <w:rPr/>
            </w:pPr>
            <w:r>
              <w:rPr>
                <w:b w:val="false"/>
                <w:bCs w:val="false"/>
                <w:color w:val="1A1A1A"/>
                <w:sz w:val="17"/>
                <w:szCs w:val="17"/>
              </w:rPr>
              <w:t>~$90 m</w:t>
            </w:r>
          </w:p>
        </w:tc>
        <w:tc>
          <w:tcPr>
            <w:tcW w:w="749" w:type="dxa"/>
            <w:tcBorders>
              <w:top w:val="single" w:sz="4" w:space="0" w:color="D9E3DE"/>
              <w:start w:val="single" w:sz="4" w:space="0" w:color="D9E3DE"/>
              <w:bottom w:val="single" w:sz="4" w:space="0" w:color="D9E3DE"/>
              <w:end w:val="single" w:sz="4" w:space="0" w:color="D9E3DE"/>
            </w:tcBorders>
            <w:shd w:color="auto" w:fill="F3F7F5" w:val="clear"/>
            <w:tcMar>
              <w:top w:w="90" w:type="dxa"/>
              <w:bottom w:w="90" w:type="dxa"/>
            </w:tcMar>
            <w:vAlign w:val="center"/>
          </w:tcPr>
          <w:p>
            <w:pPr>
              <w:pStyle w:val="Normal"/>
              <w:spacing w:before="0" w:after="0"/>
              <w:jc w:val="center"/>
              <w:rPr/>
            </w:pPr>
            <w:r>
              <w:rPr>
                <w:b w:val="false"/>
                <w:bCs w:val="false"/>
                <w:color w:val="1A1A1A"/>
                <w:sz w:val="17"/>
                <w:szCs w:val="17"/>
              </w:rPr>
              <w:t>$0.56</w:t>
            </w:r>
          </w:p>
        </w:tc>
        <w:tc>
          <w:tcPr>
            <w:tcW w:w="901" w:type="dxa"/>
            <w:tcBorders>
              <w:top w:val="single" w:sz="4" w:space="0" w:color="D9E3DE"/>
              <w:start w:val="single" w:sz="4" w:space="0" w:color="D9E3DE"/>
              <w:bottom w:val="single" w:sz="4" w:space="0" w:color="D9E3DE"/>
              <w:end w:val="single" w:sz="4" w:space="0" w:color="D9E3DE"/>
            </w:tcBorders>
            <w:shd w:color="auto" w:fill="F3F7F5" w:val="clear"/>
            <w:tcMar>
              <w:top w:w="90" w:type="dxa"/>
              <w:bottom w:w="90" w:type="dxa"/>
            </w:tcMar>
            <w:vAlign w:val="center"/>
          </w:tcPr>
          <w:p>
            <w:pPr>
              <w:pStyle w:val="Normal"/>
              <w:spacing w:before="0" w:after="20"/>
              <w:jc w:val="center"/>
              <w:rPr/>
            </w:pPr>
            <w:r>
              <w:rPr>
                <w:b w:val="false"/>
                <w:bCs w:val="false"/>
                <w:color w:val="1A1A1A"/>
                <w:sz w:val="17"/>
                <w:szCs w:val="17"/>
              </w:rPr>
              <w:t>$5.57</w:t>
            </w:r>
          </w:p>
          <w:p>
            <w:pPr>
              <w:pStyle w:val="Normal"/>
              <w:spacing w:before="0" w:after="0"/>
              <w:jc w:val="center"/>
              <w:rPr/>
            </w:pPr>
            <w:r>
              <w:rPr>
                <w:b w:val="false"/>
                <w:bCs w:val="false"/>
                <w:color w:val="1A1A1A"/>
                <w:sz w:val="17"/>
                <w:szCs w:val="17"/>
              </w:rPr>
              <w:t>@ 10 P/E</w:t>
            </w:r>
          </w:p>
        </w:tc>
        <w:tc>
          <w:tcPr>
            <w:tcW w:w="1099" w:type="dxa"/>
            <w:tcBorders>
              <w:top w:val="single" w:sz="4" w:space="0" w:color="D9E3DE"/>
              <w:start w:val="single" w:sz="4" w:space="0" w:color="D9E3DE"/>
              <w:bottom w:val="single" w:sz="4" w:space="0" w:color="D9E3DE"/>
              <w:end w:val="single" w:sz="4" w:space="0" w:color="D9E3DE"/>
            </w:tcBorders>
            <w:shd w:color="auto" w:fill="F3F7F5" w:val="clear"/>
            <w:tcMar>
              <w:top w:w="90" w:type="dxa"/>
              <w:bottom w:w="90" w:type="dxa"/>
            </w:tcMar>
            <w:vAlign w:val="center"/>
          </w:tcPr>
          <w:p>
            <w:pPr>
              <w:pStyle w:val="Normal"/>
              <w:spacing w:before="0" w:after="0"/>
              <w:jc w:val="center"/>
              <w:rPr/>
            </w:pPr>
            <w:r>
              <w:rPr>
                <w:b w:val="false"/>
                <w:bCs w:val="false"/>
                <w:color w:val="1A1A1A"/>
                <w:sz w:val="17"/>
                <w:szCs w:val="17"/>
              </w:rPr>
              <w:t>8.1x</w:t>
            </w:r>
          </w:p>
        </w:tc>
        <w:tc>
          <w:tcPr>
            <w:tcW w:w="901" w:type="dxa"/>
            <w:tcBorders>
              <w:top w:val="single" w:sz="4" w:space="0" w:color="D9E3DE"/>
              <w:start w:val="single" w:sz="4" w:space="0" w:color="D9E3DE"/>
              <w:bottom w:val="single" w:sz="4" w:space="0" w:color="D9E3DE"/>
              <w:end w:val="single" w:sz="4" w:space="0" w:color="D9E3DE"/>
            </w:tcBorders>
            <w:shd w:color="auto" w:fill="F3F7F5" w:val="clear"/>
            <w:tcMar>
              <w:top w:w="90" w:type="dxa"/>
              <w:bottom w:w="90" w:type="dxa"/>
            </w:tcMar>
            <w:vAlign w:val="center"/>
          </w:tcPr>
          <w:p>
            <w:pPr>
              <w:pStyle w:val="Normal"/>
              <w:spacing w:before="0" w:after="0"/>
              <w:jc w:val="center"/>
              <w:rPr/>
            </w:pPr>
            <w:r>
              <w:rPr>
                <w:b w:val="false"/>
                <w:bCs w:val="false"/>
                <w:color w:val="1A1A1A"/>
                <w:sz w:val="17"/>
                <w:szCs w:val="17"/>
              </w:rPr>
              <w:t>708%</w:t>
            </w:r>
          </w:p>
        </w:tc>
        <w:tc>
          <w:tcPr>
            <w:tcW w:w="900" w:type="dxa"/>
            <w:tcBorders>
              <w:top w:val="single" w:sz="4" w:space="0" w:color="D9E3DE"/>
              <w:start w:val="single" w:sz="4" w:space="0" w:color="D9E3DE"/>
              <w:bottom w:val="single" w:sz="4" w:space="0" w:color="D9E3DE"/>
              <w:end w:val="single" w:sz="4" w:space="0" w:color="D9E3DE"/>
            </w:tcBorders>
            <w:shd w:color="auto" w:fill="F3F7F5" w:val="clear"/>
            <w:tcMar>
              <w:top w:w="90" w:type="dxa"/>
              <w:bottom w:w="90" w:type="dxa"/>
            </w:tcMar>
            <w:vAlign w:val="center"/>
          </w:tcPr>
          <w:p>
            <w:pPr>
              <w:pStyle w:val="Normal"/>
              <w:spacing w:before="0" w:after="0"/>
              <w:jc w:val="center"/>
              <w:rPr/>
            </w:pPr>
            <w:r>
              <w:rPr>
                <w:b w:val="false"/>
                <w:bCs w:val="false"/>
                <w:color w:val="1A1A1A"/>
                <w:sz w:val="17"/>
                <w:szCs w:val="17"/>
              </w:rPr>
              <w:t>69%/yr</w:t>
            </w:r>
          </w:p>
        </w:tc>
        <w:tc>
          <w:tcPr>
            <w:tcW w:w="899" w:type="dxa"/>
            <w:tcBorders>
              <w:top w:val="single" w:sz="4" w:space="0" w:color="D9E3DE"/>
              <w:start w:val="single" w:sz="4" w:space="0" w:color="D9E3DE"/>
              <w:bottom w:val="single" w:sz="4" w:space="0" w:color="D9E3DE"/>
              <w:end w:val="single" w:sz="4" w:space="0" w:color="D9E3DE"/>
            </w:tcBorders>
            <w:shd w:color="auto" w:fill="F3F7F5" w:val="clear"/>
            <w:tcMar>
              <w:top w:w="90" w:type="dxa"/>
              <w:bottom w:w="90" w:type="dxa"/>
            </w:tcMar>
            <w:vAlign w:val="center"/>
          </w:tcPr>
          <w:p>
            <w:pPr>
              <w:pStyle w:val="Normal"/>
              <w:spacing w:before="0" w:after="0"/>
              <w:jc w:val="center"/>
              <w:rPr/>
            </w:pPr>
            <w:r>
              <w:rPr>
                <w:b w:val="false"/>
                <w:bCs w:val="false"/>
                <w:color w:val="1A1A1A"/>
                <w:sz w:val="17"/>
                <w:szCs w:val="17"/>
              </w:rPr>
              <w:t>69%/yr</w:t>
            </w:r>
          </w:p>
        </w:tc>
        <w:tc>
          <w:tcPr>
            <w:tcW w:w="801" w:type="dxa"/>
            <w:tcBorders>
              <w:top w:val="single" w:sz="4" w:space="0" w:color="D9E3DE"/>
              <w:start w:val="single" w:sz="4" w:space="0" w:color="D9E3DE"/>
              <w:bottom w:val="single" w:sz="4" w:space="0" w:color="D9E3DE"/>
              <w:end w:val="single" w:sz="4" w:space="0" w:color="D9E3DE"/>
            </w:tcBorders>
            <w:shd w:color="auto" w:fill="F3F7F5" w:val="clear"/>
            <w:tcMar>
              <w:top w:w="90" w:type="dxa"/>
              <w:bottom w:w="90" w:type="dxa"/>
            </w:tcMar>
            <w:vAlign w:val="center"/>
          </w:tcPr>
          <w:p>
            <w:pPr>
              <w:pStyle w:val="Normal"/>
              <w:spacing w:before="0" w:after="0"/>
              <w:jc w:val="center"/>
              <w:rPr/>
            </w:pPr>
            <w:r>
              <w:rPr>
                <w:b w:val="false"/>
                <w:bCs w:val="false"/>
                <w:color w:val="1A1A1A"/>
                <w:sz w:val="17"/>
                <w:szCs w:val="17"/>
              </w:rPr>
              <w:t>—</w:t>
            </w:r>
          </w:p>
        </w:tc>
      </w:tr>
      <w:tr>
        <w:trPr/>
        <w:tc>
          <w:tcPr>
            <w:tcW w:w="2000" w:type="dxa"/>
            <w:tcBorders>
              <w:top w:val="single" w:sz="4" w:space="0" w:color="D9E3DE"/>
              <w:start w:val="single" w:sz="4" w:space="0" w:color="D9E3DE"/>
              <w:bottom w:val="single" w:sz="4" w:space="0" w:color="D9E3DE"/>
              <w:end w:val="single" w:sz="4" w:space="0" w:color="D9E3DE"/>
            </w:tcBorders>
            <w:shd w:color="auto" w:fill="FFFFFF" w:val="clear"/>
            <w:tcMar>
              <w:top w:w="90" w:type="dxa"/>
              <w:bottom w:w="90" w:type="dxa"/>
            </w:tcMar>
            <w:vAlign w:val="center"/>
          </w:tcPr>
          <w:p>
            <w:pPr>
              <w:pStyle w:val="Normal"/>
              <w:spacing w:before="0" w:after="20"/>
              <w:jc w:val="start"/>
              <w:rPr/>
            </w:pPr>
            <w:r>
              <w:rPr>
                <w:b/>
                <w:bCs/>
                <w:color w:val="1A1A1A"/>
                <w:sz w:val="17"/>
                <w:szCs w:val="17"/>
              </w:rPr>
              <w:t>Mine build $150 m</w:t>
            </w:r>
          </w:p>
          <w:p>
            <w:pPr>
              <w:pStyle w:val="Normal"/>
              <w:spacing w:before="0" w:after="20"/>
              <w:jc w:val="start"/>
              <w:rPr/>
            </w:pPr>
            <w:r>
              <w:rPr>
                <w:b/>
                <w:bCs/>
                <w:color w:val="1A1A1A"/>
                <w:sz w:val="17"/>
                <w:szCs w:val="17"/>
              </w:rPr>
              <w:t>$50 m x 3 years,</w:t>
            </w:r>
          </w:p>
          <w:p>
            <w:pPr>
              <w:pStyle w:val="Normal"/>
              <w:spacing w:before="0" w:after="0"/>
              <w:jc w:val="start"/>
              <w:rPr/>
            </w:pPr>
            <w:r>
              <w:rPr>
                <w:b/>
                <w:bCs/>
                <w:color w:val="1A1A1A"/>
                <w:sz w:val="17"/>
                <w:szCs w:val="17"/>
              </w:rPr>
              <w:t>then Y4 on 30 koz</w:t>
            </w:r>
          </w:p>
        </w:tc>
        <w:tc>
          <w:tcPr>
            <w:tcW w:w="1749" w:type="dxa"/>
            <w:tcBorders>
              <w:top w:val="single" w:sz="4" w:space="0" w:color="D9E3DE"/>
              <w:start w:val="single" w:sz="4" w:space="0" w:color="D9E3DE"/>
              <w:bottom w:val="single" w:sz="4" w:space="0" w:color="D9E3DE"/>
              <w:end w:val="single" w:sz="4" w:space="0" w:color="D9E3DE"/>
            </w:tcBorders>
            <w:shd w:color="auto" w:fill="FFFFFF" w:val="clear"/>
            <w:tcMar>
              <w:top w:w="90" w:type="dxa"/>
              <w:bottom w:w="90" w:type="dxa"/>
            </w:tcMar>
            <w:vAlign w:val="center"/>
          </w:tcPr>
          <w:p>
            <w:pPr>
              <w:pStyle w:val="Normal"/>
              <w:spacing w:before="0" w:after="0"/>
              <w:jc w:val="center"/>
              <w:rPr/>
            </w:pPr>
            <w:r>
              <w:rPr>
                <w:b w:val="false"/>
                <w:bCs w:val="false"/>
                <w:color w:val="1A1A1A"/>
                <w:sz w:val="17"/>
                <w:szCs w:val="17"/>
              </w:rPr>
              <w:t>$150 m capex</w:t>
            </w:r>
          </w:p>
        </w:tc>
        <w:tc>
          <w:tcPr>
            <w:tcW w:w="801" w:type="dxa"/>
            <w:tcBorders>
              <w:top w:val="single" w:sz="4" w:space="0" w:color="D9E3DE"/>
              <w:start w:val="single" w:sz="4" w:space="0" w:color="D9E3DE"/>
              <w:bottom w:val="single" w:sz="4" w:space="0" w:color="D9E3DE"/>
              <w:end w:val="single" w:sz="4" w:space="0" w:color="D9E3DE"/>
            </w:tcBorders>
            <w:shd w:color="auto" w:fill="FFFFFF" w:val="clear"/>
            <w:tcMar>
              <w:top w:w="90" w:type="dxa"/>
              <w:bottom w:w="90" w:type="dxa"/>
            </w:tcMar>
            <w:vAlign w:val="center"/>
          </w:tcPr>
          <w:p>
            <w:pPr>
              <w:pStyle w:val="Normal"/>
              <w:spacing w:before="0" w:after="0"/>
              <w:jc w:val="center"/>
              <w:rPr/>
            </w:pPr>
            <w:r>
              <w:rPr>
                <w:b w:val="false"/>
                <w:bCs w:val="false"/>
                <w:color w:val="1A1A1A"/>
                <w:sz w:val="17"/>
                <w:szCs w:val="17"/>
              </w:rPr>
              <w:t>Optional</w:t>
            </w:r>
          </w:p>
        </w:tc>
        <w:tc>
          <w:tcPr>
            <w:tcW w:w="749" w:type="dxa"/>
            <w:tcBorders>
              <w:top w:val="single" w:sz="4" w:space="0" w:color="D9E3DE"/>
              <w:start w:val="single" w:sz="4" w:space="0" w:color="D9E3DE"/>
              <w:bottom w:val="single" w:sz="4" w:space="0" w:color="D9E3DE"/>
              <w:end w:val="single" w:sz="4" w:space="0" w:color="D9E3DE"/>
            </w:tcBorders>
            <w:shd w:color="auto" w:fill="FFFFFF" w:val="clear"/>
            <w:tcMar>
              <w:top w:w="90" w:type="dxa"/>
              <w:bottom w:w="90" w:type="dxa"/>
            </w:tcMar>
            <w:vAlign w:val="center"/>
          </w:tcPr>
          <w:p>
            <w:pPr>
              <w:pStyle w:val="Normal"/>
              <w:spacing w:before="0" w:after="0"/>
              <w:jc w:val="center"/>
              <w:rPr/>
            </w:pPr>
            <w:r>
              <w:rPr>
                <w:b w:val="false"/>
                <w:bCs w:val="false"/>
                <w:color w:val="1A1A1A"/>
                <w:sz w:val="17"/>
                <w:szCs w:val="17"/>
              </w:rPr>
              <w:t>$0.35</w:t>
            </w:r>
          </w:p>
        </w:tc>
        <w:tc>
          <w:tcPr>
            <w:tcW w:w="901" w:type="dxa"/>
            <w:tcBorders>
              <w:top w:val="single" w:sz="4" w:space="0" w:color="D9E3DE"/>
              <w:start w:val="single" w:sz="4" w:space="0" w:color="D9E3DE"/>
              <w:bottom w:val="single" w:sz="4" w:space="0" w:color="D9E3DE"/>
              <w:end w:val="single" w:sz="4" w:space="0" w:color="D9E3DE"/>
            </w:tcBorders>
            <w:shd w:color="auto" w:fill="FFFFFF" w:val="clear"/>
            <w:tcMar>
              <w:top w:w="90" w:type="dxa"/>
              <w:bottom w:w="90" w:type="dxa"/>
            </w:tcMar>
            <w:vAlign w:val="center"/>
          </w:tcPr>
          <w:p>
            <w:pPr>
              <w:pStyle w:val="Normal"/>
              <w:spacing w:before="0" w:after="20"/>
              <w:jc w:val="center"/>
              <w:rPr/>
            </w:pPr>
            <w:r>
              <w:rPr>
                <w:b w:val="false"/>
                <w:bCs w:val="false"/>
                <w:color w:val="1A1A1A"/>
                <w:sz w:val="17"/>
                <w:szCs w:val="17"/>
              </w:rPr>
              <w:t>$3.47</w:t>
            </w:r>
          </w:p>
          <w:p>
            <w:pPr>
              <w:pStyle w:val="Normal"/>
              <w:spacing w:before="0" w:after="0"/>
              <w:jc w:val="center"/>
              <w:rPr/>
            </w:pPr>
            <w:r>
              <w:rPr>
                <w:b w:val="false"/>
                <w:bCs w:val="false"/>
                <w:color w:val="1A1A1A"/>
                <w:sz w:val="17"/>
                <w:szCs w:val="17"/>
              </w:rPr>
              <w:t>@ 10 P/E</w:t>
            </w:r>
          </w:p>
        </w:tc>
        <w:tc>
          <w:tcPr>
            <w:tcW w:w="1099" w:type="dxa"/>
            <w:tcBorders>
              <w:top w:val="single" w:sz="4" w:space="0" w:color="D9E3DE"/>
              <w:start w:val="single" w:sz="4" w:space="0" w:color="D9E3DE"/>
              <w:bottom w:val="single" w:sz="4" w:space="0" w:color="D9E3DE"/>
              <w:end w:val="single" w:sz="4" w:space="0" w:color="D9E3DE"/>
            </w:tcBorders>
            <w:shd w:color="auto" w:fill="FFFFFF" w:val="clear"/>
            <w:tcMar>
              <w:top w:w="90" w:type="dxa"/>
              <w:bottom w:w="90" w:type="dxa"/>
            </w:tcMar>
            <w:vAlign w:val="center"/>
          </w:tcPr>
          <w:p>
            <w:pPr>
              <w:pStyle w:val="Normal"/>
              <w:spacing w:before="0" w:after="0"/>
              <w:jc w:val="center"/>
              <w:rPr/>
            </w:pPr>
            <w:r>
              <w:rPr>
                <w:b w:val="false"/>
                <w:bCs w:val="false"/>
                <w:color w:val="1A1A1A"/>
                <w:sz w:val="17"/>
                <w:szCs w:val="17"/>
              </w:rPr>
              <w:t>5.0x</w:t>
            </w:r>
          </w:p>
        </w:tc>
        <w:tc>
          <w:tcPr>
            <w:tcW w:w="901" w:type="dxa"/>
            <w:tcBorders>
              <w:top w:val="single" w:sz="4" w:space="0" w:color="D9E3DE"/>
              <w:start w:val="single" w:sz="4" w:space="0" w:color="D9E3DE"/>
              <w:bottom w:val="single" w:sz="4" w:space="0" w:color="D9E3DE"/>
              <w:end w:val="single" w:sz="4" w:space="0" w:color="D9E3DE"/>
            </w:tcBorders>
            <w:shd w:color="auto" w:fill="FFFFFF" w:val="clear"/>
            <w:tcMar>
              <w:top w:w="90" w:type="dxa"/>
              <w:bottom w:w="90" w:type="dxa"/>
            </w:tcMar>
            <w:vAlign w:val="center"/>
          </w:tcPr>
          <w:p>
            <w:pPr>
              <w:pStyle w:val="Normal"/>
              <w:spacing w:before="0" w:after="0"/>
              <w:jc w:val="center"/>
              <w:rPr/>
            </w:pPr>
            <w:r>
              <w:rPr>
                <w:b w:val="false"/>
                <w:bCs w:val="false"/>
                <w:color w:val="1A1A1A"/>
                <w:sz w:val="17"/>
                <w:szCs w:val="17"/>
              </w:rPr>
              <w:t>403%</w:t>
            </w:r>
          </w:p>
        </w:tc>
        <w:tc>
          <w:tcPr>
            <w:tcW w:w="900" w:type="dxa"/>
            <w:tcBorders>
              <w:top w:val="single" w:sz="4" w:space="0" w:color="D9E3DE"/>
              <w:start w:val="single" w:sz="4" w:space="0" w:color="D9E3DE"/>
              <w:bottom w:val="single" w:sz="4" w:space="0" w:color="D9E3DE"/>
              <w:end w:val="single" w:sz="4" w:space="0" w:color="D9E3DE"/>
            </w:tcBorders>
            <w:shd w:color="auto" w:fill="FFFFFF" w:val="clear"/>
            <w:tcMar>
              <w:top w:w="90" w:type="dxa"/>
              <w:bottom w:w="90" w:type="dxa"/>
            </w:tcMar>
            <w:vAlign w:val="center"/>
          </w:tcPr>
          <w:p>
            <w:pPr>
              <w:pStyle w:val="Normal"/>
              <w:spacing w:before="0" w:after="0"/>
              <w:jc w:val="center"/>
              <w:rPr/>
            </w:pPr>
            <w:r>
              <w:rPr>
                <w:b w:val="false"/>
                <w:bCs w:val="false"/>
                <w:color w:val="1A1A1A"/>
                <w:sz w:val="17"/>
                <w:szCs w:val="17"/>
              </w:rPr>
              <w:t>50%/yr</w:t>
            </w:r>
          </w:p>
        </w:tc>
        <w:tc>
          <w:tcPr>
            <w:tcW w:w="899" w:type="dxa"/>
            <w:tcBorders>
              <w:top w:val="single" w:sz="4" w:space="0" w:color="D9E3DE"/>
              <w:start w:val="single" w:sz="4" w:space="0" w:color="D9E3DE"/>
              <w:bottom w:val="single" w:sz="4" w:space="0" w:color="D9E3DE"/>
              <w:end w:val="single" w:sz="4" w:space="0" w:color="D9E3DE"/>
            </w:tcBorders>
            <w:shd w:color="auto" w:fill="FFFFFF" w:val="clear"/>
            <w:tcMar>
              <w:top w:w="90" w:type="dxa"/>
              <w:bottom w:w="90" w:type="dxa"/>
            </w:tcMar>
            <w:vAlign w:val="center"/>
          </w:tcPr>
          <w:p>
            <w:pPr>
              <w:pStyle w:val="Normal"/>
              <w:spacing w:before="0" w:after="20"/>
              <w:jc w:val="center"/>
              <w:rPr/>
            </w:pPr>
            <w:r>
              <w:rPr>
                <w:b w:val="false"/>
                <w:bCs w:val="false"/>
                <w:color w:val="1A1A1A"/>
                <w:sz w:val="17"/>
                <w:szCs w:val="17"/>
              </w:rPr>
              <w:t>20% project</w:t>
            </w:r>
          </w:p>
          <w:p>
            <w:pPr>
              <w:pStyle w:val="Normal"/>
              <w:spacing w:before="0" w:after="0"/>
              <w:jc w:val="center"/>
              <w:rPr/>
            </w:pPr>
            <w:r>
              <w:rPr>
                <w:b w:val="false"/>
                <w:bCs w:val="false"/>
                <w:color w:val="1A1A1A"/>
                <w:sz w:val="17"/>
                <w:szCs w:val="17"/>
              </w:rPr>
              <w:t>in Y4</w:t>
            </w:r>
          </w:p>
        </w:tc>
        <w:tc>
          <w:tcPr>
            <w:tcW w:w="801" w:type="dxa"/>
            <w:tcBorders>
              <w:top w:val="single" w:sz="4" w:space="0" w:color="D9E3DE"/>
              <w:start w:val="single" w:sz="4" w:space="0" w:color="D9E3DE"/>
              <w:bottom w:val="single" w:sz="4" w:space="0" w:color="D9E3DE"/>
              <w:end w:val="single" w:sz="4" w:space="0" w:color="D9E3DE"/>
            </w:tcBorders>
            <w:shd w:color="auto" w:fill="FFFFFF" w:val="clear"/>
            <w:tcMar>
              <w:top w:w="90" w:type="dxa"/>
              <w:bottom w:w="90" w:type="dxa"/>
            </w:tcMar>
            <w:vAlign w:val="center"/>
          </w:tcPr>
          <w:p>
            <w:pPr>
              <w:pStyle w:val="Normal"/>
              <w:spacing w:before="0" w:after="0"/>
              <w:jc w:val="center"/>
              <w:rPr/>
            </w:pPr>
            <w:r>
              <w:rPr>
                <w:b w:val="false"/>
                <w:bCs w:val="false"/>
                <w:color w:val="1A1A1A"/>
                <w:sz w:val="17"/>
                <w:szCs w:val="17"/>
              </w:rPr>
              <w:t>—</w:t>
            </w:r>
          </w:p>
        </w:tc>
      </w:tr>
      <w:tr>
        <w:trPr/>
        <w:tc>
          <w:tcPr>
            <w:tcW w:w="2000" w:type="dxa"/>
            <w:tcBorders>
              <w:top w:val="single" w:sz="4" w:space="0" w:color="D9E3DE"/>
              <w:start w:val="single" w:sz="4" w:space="0" w:color="D9E3DE"/>
              <w:bottom w:val="single" w:sz="4" w:space="0" w:color="D9E3DE"/>
              <w:end w:val="single" w:sz="4" w:space="0" w:color="D9E3DE"/>
            </w:tcBorders>
            <w:shd w:color="auto" w:fill="F3F7F5" w:val="clear"/>
            <w:tcMar>
              <w:top w:w="90" w:type="dxa"/>
              <w:bottom w:w="90" w:type="dxa"/>
            </w:tcMar>
            <w:vAlign w:val="center"/>
          </w:tcPr>
          <w:p>
            <w:pPr>
              <w:pStyle w:val="Normal"/>
              <w:spacing w:before="0" w:after="0"/>
              <w:jc w:val="start"/>
              <w:rPr/>
            </w:pPr>
            <w:r>
              <w:rPr>
                <w:b/>
                <w:bCs/>
                <w:color w:val="1A1A1A"/>
                <w:sz w:val="17"/>
                <w:szCs w:val="17"/>
              </w:rPr>
              <w:t>Do nothing</w:t>
            </w:r>
          </w:p>
        </w:tc>
        <w:tc>
          <w:tcPr>
            <w:tcW w:w="1749" w:type="dxa"/>
            <w:tcBorders>
              <w:top w:val="single" w:sz="4" w:space="0" w:color="D9E3DE"/>
              <w:start w:val="single" w:sz="4" w:space="0" w:color="D9E3DE"/>
              <w:bottom w:val="single" w:sz="4" w:space="0" w:color="D9E3DE"/>
              <w:end w:val="single" w:sz="4" w:space="0" w:color="D9E3DE"/>
            </w:tcBorders>
            <w:shd w:color="auto" w:fill="F3F7F5" w:val="clear"/>
            <w:tcMar>
              <w:top w:w="90" w:type="dxa"/>
              <w:bottom w:w="90" w:type="dxa"/>
            </w:tcMar>
            <w:vAlign w:val="center"/>
          </w:tcPr>
          <w:p>
            <w:pPr>
              <w:pStyle w:val="Normal"/>
              <w:spacing w:before="0" w:after="0"/>
              <w:jc w:val="center"/>
              <w:rPr/>
            </w:pPr>
            <w:r>
              <w:rPr>
                <w:b w:val="false"/>
                <w:bCs w:val="false"/>
                <w:color w:val="1A1A1A"/>
                <w:sz w:val="17"/>
                <w:szCs w:val="17"/>
              </w:rPr>
              <w:t>—</w:t>
            </w:r>
          </w:p>
        </w:tc>
        <w:tc>
          <w:tcPr>
            <w:tcW w:w="801" w:type="dxa"/>
            <w:tcBorders>
              <w:top w:val="single" w:sz="4" w:space="0" w:color="D9E3DE"/>
              <w:start w:val="single" w:sz="4" w:space="0" w:color="D9E3DE"/>
              <w:bottom w:val="single" w:sz="4" w:space="0" w:color="D9E3DE"/>
              <w:end w:val="single" w:sz="4" w:space="0" w:color="D9E3DE"/>
            </w:tcBorders>
            <w:shd w:color="auto" w:fill="F3F7F5" w:val="clear"/>
            <w:tcMar>
              <w:top w:w="90" w:type="dxa"/>
              <w:bottom w:w="90" w:type="dxa"/>
            </w:tcMar>
            <w:vAlign w:val="center"/>
          </w:tcPr>
          <w:p>
            <w:pPr>
              <w:pStyle w:val="Normal"/>
              <w:spacing w:before="0" w:after="0"/>
              <w:jc w:val="center"/>
              <w:rPr/>
            </w:pPr>
            <w:r>
              <w:rPr>
                <w:b w:val="false"/>
                <w:bCs w:val="false"/>
                <w:color w:val="1A1A1A"/>
                <w:sz w:val="17"/>
                <w:szCs w:val="17"/>
              </w:rPr>
              <w:t>No</w:t>
            </w:r>
          </w:p>
        </w:tc>
        <w:tc>
          <w:tcPr>
            <w:tcW w:w="749" w:type="dxa"/>
            <w:tcBorders>
              <w:top w:val="single" w:sz="4" w:space="0" w:color="D9E3DE"/>
              <w:start w:val="single" w:sz="4" w:space="0" w:color="D9E3DE"/>
              <w:bottom w:val="single" w:sz="4" w:space="0" w:color="D9E3DE"/>
              <w:end w:val="single" w:sz="4" w:space="0" w:color="D9E3DE"/>
            </w:tcBorders>
            <w:shd w:color="auto" w:fill="F3F7F5" w:val="clear"/>
            <w:tcMar>
              <w:top w:w="90" w:type="dxa"/>
              <w:bottom w:w="90" w:type="dxa"/>
            </w:tcMar>
            <w:vAlign w:val="center"/>
          </w:tcPr>
          <w:p>
            <w:pPr>
              <w:pStyle w:val="Normal"/>
              <w:spacing w:before="0" w:after="0"/>
              <w:jc w:val="center"/>
              <w:rPr/>
            </w:pPr>
            <w:r>
              <w:rPr>
                <w:b w:val="false"/>
                <w:bCs w:val="false"/>
                <w:color w:val="1A1A1A"/>
                <w:sz w:val="17"/>
                <w:szCs w:val="17"/>
              </w:rPr>
              <w:t>$0.29</w:t>
            </w:r>
          </w:p>
        </w:tc>
        <w:tc>
          <w:tcPr>
            <w:tcW w:w="901" w:type="dxa"/>
            <w:tcBorders>
              <w:top w:val="single" w:sz="4" w:space="0" w:color="D9E3DE"/>
              <w:start w:val="single" w:sz="4" w:space="0" w:color="D9E3DE"/>
              <w:bottom w:val="single" w:sz="4" w:space="0" w:color="D9E3DE"/>
              <w:end w:val="single" w:sz="4" w:space="0" w:color="D9E3DE"/>
            </w:tcBorders>
            <w:shd w:color="auto" w:fill="F3F7F5" w:val="clear"/>
            <w:tcMar>
              <w:top w:w="90" w:type="dxa"/>
              <w:bottom w:w="90" w:type="dxa"/>
            </w:tcMar>
            <w:vAlign w:val="center"/>
          </w:tcPr>
          <w:p>
            <w:pPr>
              <w:pStyle w:val="Normal"/>
              <w:spacing w:before="0" w:after="20"/>
              <w:jc w:val="center"/>
              <w:rPr/>
            </w:pPr>
            <w:r>
              <w:rPr>
                <w:b w:val="false"/>
                <w:bCs w:val="false"/>
                <w:color w:val="1A1A1A"/>
                <w:sz w:val="17"/>
                <w:szCs w:val="17"/>
              </w:rPr>
              <w:t>$2.89</w:t>
            </w:r>
          </w:p>
          <w:p>
            <w:pPr>
              <w:pStyle w:val="Normal"/>
              <w:spacing w:before="0" w:after="0"/>
              <w:jc w:val="center"/>
              <w:rPr/>
            </w:pPr>
            <w:r>
              <w:rPr>
                <w:b w:val="false"/>
                <w:bCs w:val="false"/>
                <w:color w:val="1A1A1A"/>
                <w:sz w:val="17"/>
                <w:szCs w:val="17"/>
              </w:rPr>
              <w:t>@ 10 P/E</w:t>
            </w:r>
          </w:p>
        </w:tc>
        <w:tc>
          <w:tcPr>
            <w:tcW w:w="1099" w:type="dxa"/>
            <w:tcBorders>
              <w:top w:val="single" w:sz="4" w:space="0" w:color="D9E3DE"/>
              <w:start w:val="single" w:sz="4" w:space="0" w:color="D9E3DE"/>
              <w:bottom w:val="single" w:sz="4" w:space="0" w:color="D9E3DE"/>
              <w:end w:val="single" w:sz="4" w:space="0" w:color="D9E3DE"/>
            </w:tcBorders>
            <w:shd w:color="auto" w:fill="F3F7F5" w:val="clear"/>
            <w:tcMar>
              <w:top w:w="90" w:type="dxa"/>
              <w:bottom w:w="90" w:type="dxa"/>
            </w:tcMar>
            <w:vAlign w:val="center"/>
          </w:tcPr>
          <w:p>
            <w:pPr>
              <w:pStyle w:val="Normal"/>
              <w:spacing w:before="0" w:after="0"/>
              <w:jc w:val="center"/>
              <w:rPr/>
            </w:pPr>
            <w:r>
              <w:rPr>
                <w:b w:val="false"/>
                <w:bCs w:val="false"/>
                <w:color w:val="1A1A1A"/>
                <w:sz w:val="17"/>
                <w:szCs w:val="17"/>
              </w:rPr>
              <w:t>4.2x</w:t>
            </w:r>
          </w:p>
        </w:tc>
        <w:tc>
          <w:tcPr>
            <w:tcW w:w="901" w:type="dxa"/>
            <w:tcBorders>
              <w:top w:val="single" w:sz="4" w:space="0" w:color="D9E3DE"/>
              <w:start w:val="single" w:sz="4" w:space="0" w:color="D9E3DE"/>
              <w:bottom w:val="single" w:sz="4" w:space="0" w:color="D9E3DE"/>
              <w:end w:val="single" w:sz="4" w:space="0" w:color="D9E3DE"/>
            </w:tcBorders>
            <w:shd w:color="auto" w:fill="F3F7F5" w:val="clear"/>
            <w:tcMar>
              <w:top w:w="90" w:type="dxa"/>
              <w:bottom w:w="90" w:type="dxa"/>
            </w:tcMar>
            <w:vAlign w:val="center"/>
          </w:tcPr>
          <w:p>
            <w:pPr>
              <w:pStyle w:val="Normal"/>
              <w:spacing w:before="0" w:after="0"/>
              <w:jc w:val="center"/>
              <w:rPr/>
            </w:pPr>
            <w:r>
              <w:rPr>
                <w:b w:val="false"/>
                <w:bCs w:val="false"/>
                <w:color w:val="1A1A1A"/>
                <w:sz w:val="17"/>
                <w:szCs w:val="17"/>
              </w:rPr>
              <w:t>319%</w:t>
            </w:r>
          </w:p>
        </w:tc>
        <w:tc>
          <w:tcPr>
            <w:tcW w:w="900" w:type="dxa"/>
            <w:tcBorders>
              <w:top w:val="single" w:sz="4" w:space="0" w:color="D9E3DE"/>
              <w:start w:val="single" w:sz="4" w:space="0" w:color="D9E3DE"/>
              <w:bottom w:val="single" w:sz="4" w:space="0" w:color="D9E3DE"/>
              <w:end w:val="single" w:sz="4" w:space="0" w:color="D9E3DE"/>
            </w:tcBorders>
            <w:shd w:color="auto" w:fill="F3F7F5" w:val="clear"/>
            <w:tcMar>
              <w:top w:w="90" w:type="dxa"/>
              <w:bottom w:w="90" w:type="dxa"/>
            </w:tcMar>
            <w:vAlign w:val="center"/>
          </w:tcPr>
          <w:p>
            <w:pPr>
              <w:pStyle w:val="Normal"/>
              <w:spacing w:before="0" w:after="0"/>
              <w:jc w:val="center"/>
              <w:rPr/>
            </w:pPr>
            <w:r>
              <w:rPr>
                <w:b w:val="false"/>
                <w:bCs w:val="false"/>
                <w:color w:val="1A1A1A"/>
                <w:sz w:val="17"/>
                <w:szCs w:val="17"/>
              </w:rPr>
              <w:t>43%/yr</w:t>
            </w:r>
          </w:p>
        </w:tc>
        <w:tc>
          <w:tcPr>
            <w:tcW w:w="899" w:type="dxa"/>
            <w:tcBorders>
              <w:top w:val="single" w:sz="4" w:space="0" w:color="D9E3DE"/>
              <w:start w:val="single" w:sz="4" w:space="0" w:color="D9E3DE"/>
              <w:bottom w:val="single" w:sz="4" w:space="0" w:color="D9E3DE"/>
              <w:end w:val="single" w:sz="4" w:space="0" w:color="D9E3DE"/>
            </w:tcBorders>
            <w:shd w:color="auto" w:fill="F3F7F5" w:val="clear"/>
            <w:tcMar>
              <w:top w:w="90" w:type="dxa"/>
              <w:bottom w:w="90" w:type="dxa"/>
            </w:tcMar>
            <w:vAlign w:val="center"/>
          </w:tcPr>
          <w:p>
            <w:pPr>
              <w:pStyle w:val="Normal"/>
              <w:spacing w:before="0" w:after="0"/>
              <w:jc w:val="center"/>
              <w:rPr/>
            </w:pPr>
            <w:r>
              <w:rPr>
                <w:b w:val="false"/>
                <w:bCs w:val="false"/>
                <w:color w:val="1A1A1A"/>
                <w:sz w:val="17"/>
                <w:szCs w:val="17"/>
              </w:rPr>
              <w:t>—</w:t>
            </w:r>
          </w:p>
        </w:tc>
        <w:tc>
          <w:tcPr>
            <w:tcW w:w="801" w:type="dxa"/>
            <w:tcBorders>
              <w:top w:val="single" w:sz="4" w:space="0" w:color="D9E3DE"/>
              <w:start w:val="single" w:sz="4" w:space="0" w:color="D9E3DE"/>
              <w:bottom w:val="single" w:sz="4" w:space="0" w:color="D9E3DE"/>
              <w:end w:val="single" w:sz="4" w:space="0" w:color="D9E3DE"/>
            </w:tcBorders>
            <w:shd w:color="auto" w:fill="F3F7F5" w:val="clear"/>
            <w:tcMar>
              <w:top w:w="90" w:type="dxa"/>
              <w:bottom w:w="90" w:type="dxa"/>
            </w:tcMar>
            <w:vAlign w:val="center"/>
          </w:tcPr>
          <w:p>
            <w:pPr>
              <w:pStyle w:val="Normal"/>
              <w:spacing w:before="0" w:after="0"/>
              <w:jc w:val="center"/>
              <w:rPr/>
            </w:pPr>
            <w:r>
              <w:rPr>
                <w:b w:val="false"/>
                <w:bCs w:val="false"/>
                <w:color w:val="1A1A1A"/>
                <w:sz w:val="17"/>
                <w:szCs w:val="17"/>
              </w:rPr>
              <w:t>—</w:t>
            </w:r>
          </w:p>
        </w:tc>
      </w:tr>
      <w:tr>
        <w:trPr/>
        <w:tc>
          <w:tcPr>
            <w:tcW w:w="2000" w:type="dxa"/>
            <w:tcBorders>
              <w:top w:val="single" w:sz="4" w:space="0" w:color="D9E3DE"/>
              <w:start w:val="single" w:sz="4" w:space="0" w:color="D9E3DE"/>
              <w:bottom w:val="single" w:sz="4" w:space="0" w:color="D9E3DE"/>
              <w:end w:val="single" w:sz="4" w:space="0" w:color="D9E3DE"/>
            </w:tcBorders>
            <w:shd w:color="auto" w:fill="FBE7C6" w:val="clear"/>
            <w:tcMar>
              <w:top w:w="90" w:type="dxa"/>
              <w:bottom w:w="90" w:type="dxa"/>
            </w:tcMar>
            <w:vAlign w:val="center"/>
          </w:tcPr>
          <w:p>
            <w:pPr>
              <w:pStyle w:val="Normal"/>
              <w:spacing w:before="0" w:after="20"/>
              <w:jc w:val="start"/>
              <w:rPr/>
            </w:pPr>
            <w:r>
              <w:rPr>
                <w:b/>
                <w:bCs/>
                <w:color w:val="1A1A1A"/>
                <w:sz w:val="17"/>
                <w:szCs w:val="17"/>
              </w:rPr>
              <w:t>Typical 20 P/E co.</w:t>
            </w:r>
          </w:p>
          <w:p>
            <w:pPr>
              <w:pStyle w:val="Normal"/>
              <w:spacing w:before="0" w:after="20"/>
              <w:jc w:val="start"/>
              <w:rPr/>
            </w:pPr>
            <w:r>
              <w:rPr>
                <w:b/>
                <w:bCs/>
                <w:color w:val="1A1A1A"/>
                <w:sz w:val="17"/>
                <w:szCs w:val="17"/>
              </w:rPr>
              <w:t>20% buyback / 3 yrs</w:t>
            </w:r>
          </w:p>
          <w:p>
            <w:pPr>
              <w:pStyle w:val="Normal"/>
              <w:spacing w:before="0" w:after="0"/>
              <w:jc w:val="start"/>
              <w:rPr/>
            </w:pPr>
            <w:r>
              <w:rPr>
                <w:b/>
                <w:bCs/>
                <w:color w:val="1A1A1A"/>
                <w:sz w:val="17"/>
                <w:szCs w:val="17"/>
              </w:rPr>
              <w:t>(max it can fund)</w:t>
            </w:r>
          </w:p>
        </w:tc>
        <w:tc>
          <w:tcPr>
            <w:tcW w:w="1749" w:type="dxa"/>
            <w:tcBorders>
              <w:top w:val="single" w:sz="4" w:space="0" w:color="D9E3DE"/>
              <w:start w:val="single" w:sz="4" w:space="0" w:color="D9E3DE"/>
              <w:bottom w:val="single" w:sz="4" w:space="0" w:color="D9E3DE"/>
              <w:end w:val="single" w:sz="4" w:space="0" w:color="D9E3DE"/>
            </w:tcBorders>
            <w:shd w:color="auto" w:fill="FBE7C6" w:val="clear"/>
            <w:tcMar>
              <w:top w:w="90" w:type="dxa"/>
              <w:bottom w:w="90" w:type="dxa"/>
            </w:tcMar>
            <w:vAlign w:val="center"/>
          </w:tcPr>
          <w:p>
            <w:pPr>
              <w:pStyle w:val="Normal"/>
              <w:spacing w:before="0" w:after="20"/>
              <w:jc w:val="center"/>
              <w:rPr/>
            </w:pPr>
            <w:r>
              <w:rPr>
                <w:b/>
                <w:bCs/>
                <w:color w:val="1A1A1A"/>
                <w:sz w:val="17"/>
                <w:szCs w:val="17"/>
              </w:rPr>
              <w:t>Starts $0.69 @ 20 P/E</w:t>
            </w:r>
          </w:p>
          <w:p>
            <w:pPr>
              <w:pStyle w:val="Normal"/>
              <w:spacing w:before="0" w:after="20"/>
              <w:jc w:val="center"/>
              <w:rPr/>
            </w:pPr>
            <w:r>
              <w:rPr>
                <w:b/>
                <w:bCs/>
                <w:color w:val="1A1A1A"/>
                <w:sz w:val="17"/>
                <w:szCs w:val="17"/>
              </w:rPr>
              <w:t>5% FCF, 10% cash</w:t>
            </w:r>
          </w:p>
          <w:p>
            <w:pPr>
              <w:pStyle w:val="Normal"/>
              <w:spacing w:before="0" w:after="0"/>
              <w:jc w:val="center"/>
              <w:rPr/>
            </w:pPr>
            <w:r>
              <w:rPr>
                <w:b/>
                <w:bCs/>
                <w:color w:val="1A1A1A"/>
                <w:sz w:val="17"/>
                <w:szCs w:val="17"/>
              </w:rPr>
              <w:t>blend ~$0.78</w:t>
            </w:r>
          </w:p>
        </w:tc>
        <w:tc>
          <w:tcPr>
            <w:tcW w:w="801" w:type="dxa"/>
            <w:tcBorders>
              <w:top w:val="single" w:sz="4" w:space="0" w:color="D9E3DE"/>
              <w:start w:val="single" w:sz="4" w:space="0" w:color="D9E3DE"/>
              <w:bottom w:val="single" w:sz="4" w:space="0" w:color="D9E3DE"/>
              <w:end w:val="single" w:sz="4" w:space="0" w:color="D9E3DE"/>
            </w:tcBorders>
            <w:shd w:color="auto" w:fill="FBE7C6" w:val="clear"/>
            <w:tcMar>
              <w:top w:w="90" w:type="dxa"/>
              <w:bottom w:w="90" w:type="dxa"/>
            </w:tcMar>
            <w:vAlign w:val="center"/>
          </w:tcPr>
          <w:p>
            <w:pPr>
              <w:pStyle w:val="Normal"/>
              <w:spacing w:before="0" w:after="20"/>
              <w:jc w:val="center"/>
              <w:rPr/>
            </w:pPr>
            <w:r>
              <w:rPr>
                <w:b/>
                <w:bCs/>
                <w:color w:val="1A1A1A"/>
                <w:sz w:val="17"/>
                <w:szCs w:val="17"/>
              </w:rPr>
              <w:t>Yes</w:t>
            </w:r>
          </w:p>
          <w:p>
            <w:pPr>
              <w:pStyle w:val="Normal"/>
              <w:spacing w:before="0" w:after="0"/>
              <w:jc w:val="center"/>
              <w:rPr/>
            </w:pPr>
            <w:r>
              <w:rPr>
                <w:b/>
                <w:bCs/>
                <w:color w:val="1A1A1A"/>
                <w:sz w:val="17"/>
                <w:szCs w:val="17"/>
              </w:rPr>
              <w:t>20% of mkt cap</w:t>
            </w:r>
          </w:p>
        </w:tc>
        <w:tc>
          <w:tcPr>
            <w:tcW w:w="749" w:type="dxa"/>
            <w:tcBorders>
              <w:top w:val="single" w:sz="4" w:space="0" w:color="D9E3DE"/>
              <w:start w:val="single" w:sz="4" w:space="0" w:color="D9E3DE"/>
              <w:bottom w:val="single" w:sz="4" w:space="0" w:color="D9E3DE"/>
              <w:end w:val="single" w:sz="4" w:space="0" w:color="D9E3DE"/>
            </w:tcBorders>
            <w:shd w:color="auto" w:fill="FBE7C6" w:val="clear"/>
            <w:tcMar>
              <w:top w:w="90" w:type="dxa"/>
              <w:bottom w:w="90" w:type="dxa"/>
            </w:tcMar>
            <w:vAlign w:val="center"/>
          </w:tcPr>
          <w:p>
            <w:pPr>
              <w:pStyle w:val="Normal"/>
              <w:spacing w:before="0" w:after="0"/>
              <w:jc w:val="center"/>
              <w:rPr/>
            </w:pPr>
            <w:r>
              <w:rPr>
                <w:b/>
                <w:bCs/>
                <w:color w:val="1A1A1A"/>
                <w:sz w:val="17"/>
                <w:szCs w:val="17"/>
              </w:rPr>
              <w:t>$0.043</w:t>
            </w:r>
          </w:p>
        </w:tc>
        <w:tc>
          <w:tcPr>
            <w:tcW w:w="901" w:type="dxa"/>
            <w:tcBorders>
              <w:top w:val="single" w:sz="4" w:space="0" w:color="D9E3DE"/>
              <w:start w:val="single" w:sz="4" w:space="0" w:color="D9E3DE"/>
              <w:bottom w:val="single" w:sz="4" w:space="0" w:color="D9E3DE"/>
              <w:end w:val="single" w:sz="4" w:space="0" w:color="D9E3DE"/>
            </w:tcBorders>
            <w:shd w:color="auto" w:fill="FBE7C6" w:val="clear"/>
            <w:tcMar>
              <w:top w:w="90" w:type="dxa"/>
              <w:bottom w:w="90" w:type="dxa"/>
            </w:tcMar>
            <w:vAlign w:val="center"/>
          </w:tcPr>
          <w:p>
            <w:pPr>
              <w:pStyle w:val="Normal"/>
              <w:spacing w:before="0" w:after="20"/>
              <w:jc w:val="center"/>
              <w:rPr/>
            </w:pPr>
            <w:r>
              <w:rPr>
                <w:b/>
                <w:bCs/>
                <w:color w:val="1A1A1A"/>
                <w:sz w:val="17"/>
                <w:szCs w:val="17"/>
              </w:rPr>
              <w:t>$0.86</w:t>
            </w:r>
          </w:p>
          <w:p>
            <w:pPr>
              <w:pStyle w:val="Normal"/>
              <w:spacing w:before="0" w:after="0"/>
              <w:jc w:val="center"/>
              <w:rPr/>
            </w:pPr>
            <w:r>
              <w:rPr>
                <w:b/>
                <w:bCs/>
                <w:color w:val="1A1A1A"/>
                <w:sz w:val="17"/>
                <w:szCs w:val="17"/>
              </w:rPr>
              <w:t>@ 20 P/E</w:t>
            </w:r>
          </w:p>
        </w:tc>
        <w:tc>
          <w:tcPr>
            <w:tcW w:w="1099" w:type="dxa"/>
            <w:tcBorders>
              <w:top w:val="single" w:sz="4" w:space="0" w:color="D9E3DE"/>
              <w:start w:val="single" w:sz="4" w:space="0" w:color="D9E3DE"/>
              <w:bottom w:val="single" w:sz="4" w:space="0" w:color="D9E3DE"/>
              <w:end w:val="single" w:sz="4" w:space="0" w:color="D9E3DE"/>
            </w:tcBorders>
            <w:shd w:color="auto" w:fill="FBE7C6" w:val="clear"/>
            <w:tcMar>
              <w:top w:w="90" w:type="dxa"/>
              <w:bottom w:w="90" w:type="dxa"/>
            </w:tcMar>
            <w:vAlign w:val="center"/>
          </w:tcPr>
          <w:p>
            <w:pPr>
              <w:pStyle w:val="Normal"/>
              <w:spacing w:before="0" w:after="0"/>
              <w:jc w:val="center"/>
              <w:rPr/>
            </w:pPr>
            <w:r>
              <w:rPr>
                <w:b/>
                <w:bCs/>
                <w:color w:val="1A1A1A"/>
                <w:sz w:val="17"/>
                <w:szCs w:val="17"/>
              </w:rPr>
              <w:t>1.25x</w:t>
            </w:r>
          </w:p>
        </w:tc>
        <w:tc>
          <w:tcPr>
            <w:tcW w:w="901" w:type="dxa"/>
            <w:tcBorders>
              <w:top w:val="single" w:sz="4" w:space="0" w:color="D9E3DE"/>
              <w:start w:val="single" w:sz="4" w:space="0" w:color="D9E3DE"/>
              <w:bottom w:val="single" w:sz="4" w:space="0" w:color="D9E3DE"/>
              <w:end w:val="single" w:sz="4" w:space="0" w:color="D9E3DE"/>
            </w:tcBorders>
            <w:shd w:color="auto" w:fill="FBE7C6" w:val="clear"/>
            <w:tcMar>
              <w:top w:w="90" w:type="dxa"/>
              <w:bottom w:w="90" w:type="dxa"/>
            </w:tcMar>
            <w:vAlign w:val="center"/>
          </w:tcPr>
          <w:p>
            <w:pPr>
              <w:pStyle w:val="Normal"/>
              <w:spacing w:before="0" w:after="0"/>
              <w:jc w:val="center"/>
              <w:rPr/>
            </w:pPr>
            <w:r>
              <w:rPr>
                <w:b/>
                <w:bCs/>
                <w:color w:val="1A1A1A"/>
                <w:sz w:val="17"/>
                <w:szCs w:val="17"/>
              </w:rPr>
              <w:t>25%</w:t>
            </w:r>
          </w:p>
        </w:tc>
        <w:tc>
          <w:tcPr>
            <w:tcW w:w="900" w:type="dxa"/>
            <w:tcBorders>
              <w:top w:val="single" w:sz="4" w:space="0" w:color="D9E3DE"/>
              <w:start w:val="single" w:sz="4" w:space="0" w:color="D9E3DE"/>
              <w:bottom w:val="single" w:sz="4" w:space="0" w:color="D9E3DE"/>
              <w:end w:val="single" w:sz="4" w:space="0" w:color="D9E3DE"/>
            </w:tcBorders>
            <w:shd w:color="auto" w:fill="FBE7C6" w:val="clear"/>
            <w:tcMar>
              <w:top w:w="90" w:type="dxa"/>
              <w:bottom w:w="90" w:type="dxa"/>
            </w:tcMar>
            <w:vAlign w:val="center"/>
          </w:tcPr>
          <w:p>
            <w:pPr>
              <w:pStyle w:val="Normal"/>
              <w:spacing w:before="0" w:after="0"/>
              <w:jc w:val="center"/>
              <w:rPr/>
            </w:pPr>
            <w:r>
              <w:rPr>
                <w:b/>
                <w:bCs/>
                <w:color w:val="1A1A1A"/>
                <w:sz w:val="17"/>
                <w:szCs w:val="17"/>
              </w:rPr>
              <w:t>5.7%/yr</w:t>
            </w:r>
          </w:p>
        </w:tc>
        <w:tc>
          <w:tcPr>
            <w:tcW w:w="899" w:type="dxa"/>
            <w:tcBorders>
              <w:top w:val="single" w:sz="4" w:space="0" w:color="D9E3DE"/>
              <w:start w:val="single" w:sz="4" w:space="0" w:color="D9E3DE"/>
              <w:bottom w:val="single" w:sz="4" w:space="0" w:color="D9E3DE"/>
              <w:end w:val="single" w:sz="4" w:space="0" w:color="D9E3DE"/>
            </w:tcBorders>
            <w:shd w:color="auto" w:fill="FBE7C6" w:val="clear"/>
            <w:tcMar>
              <w:top w:w="90" w:type="dxa"/>
              <w:bottom w:w="90" w:type="dxa"/>
            </w:tcMar>
            <w:vAlign w:val="center"/>
          </w:tcPr>
          <w:p>
            <w:pPr>
              <w:pStyle w:val="Normal"/>
              <w:spacing w:before="0" w:after="0"/>
              <w:jc w:val="center"/>
              <w:rPr/>
            </w:pPr>
            <w:r>
              <w:rPr>
                <w:b/>
                <w:bCs/>
                <w:color w:val="1A1A1A"/>
                <w:sz w:val="17"/>
                <w:szCs w:val="17"/>
              </w:rPr>
              <w:t>2.7%/yr</w:t>
            </w:r>
          </w:p>
        </w:tc>
        <w:tc>
          <w:tcPr>
            <w:tcW w:w="801" w:type="dxa"/>
            <w:tcBorders>
              <w:top w:val="single" w:sz="4" w:space="0" w:color="D9E3DE"/>
              <w:start w:val="single" w:sz="4" w:space="0" w:color="D9E3DE"/>
              <w:bottom w:val="single" w:sz="4" w:space="0" w:color="D9E3DE"/>
              <w:end w:val="single" w:sz="4" w:space="0" w:color="D9E3DE"/>
            </w:tcBorders>
            <w:shd w:color="auto" w:fill="FBE7C6" w:val="clear"/>
            <w:tcMar>
              <w:top w:w="90" w:type="dxa"/>
              <w:bottom w:w="90" w:type="dxa"/>
            </w:tcMar>
            <w:vAlign w:val="center"/>
          </w:tcPr>
          <w:p>
            <w:pPr>
              <w:pStyle w:val="Normal"/>
              <w:spacing w:before="0" w:after="0"/>
              <w:jc w:val="center"/>
              <w:rPr/>
            </w:pPr>
            <w:r>
              <w:rPr>
                <w:b/>
                <w:bCs/>
                <w:color w:val="1A1A1A"/>
                <w:sz w:val="17"/>
                <w:szCs w:val="17"/>
              </w:rPr>
              <w:t>5%</w:t>
            </w:r>
          </w:p>
        </w:tc>
      </w:tr>
    </w:tbl>
    <w:p>
      <w:pPr>
        <w:pStyle w:val="Normal"/>
        <w:spacing w:before="0" w:after="180"/>
        <w:rPr/>
      </w:pPr>
      <w:r>
        <w:rPr>
          <w:b/>
          <w:bCs/>
          <w:color w:val="1A1A1A"/>
          <w:sz w:val="22"/>
          <w:szCs w:val="22"/>
        </w:rPr>
        <w:t xml:space="preserve">Typical </w:t>
      </w:r>
      <w:r>
        <w:rPr>
          <w:b/>
          <w:bCs/>
          <w:color w:val="1A1A1A"/>
          <w:sz w:val="22"/>
          <w:szCs w:val="22"/>
        </w:rPr>
        <w:t xml:space="preserve">20 P/E </w:t>
      </w:r>
      <w:r>
        <w:rPr>
          <w:b/>
          <w:bCs/>
          <w:color w:val="1A1A1A"/>
          <w:sz w:val="22"/>
          <w:szCs w:val="22"/>
        </w:rPr>
        <w:t xml:space="preserve">row: </w:t>
      </w:r>
      <w:r>
        <w:rPr>
          <w:color w:val="1A1A1A"/>
          <w:sz w:val="22"/>
          <w:szCs w:val="22"/>
        </w:rPr>
        <w:t>earnings yield 5% so P/E 20. Three years of FCF = 15% of market cap; another 5% comes out of the 10% cash pile. That is the 20% buyback ceiling unless they lever past 20% debt. Flat earnings, 20% fewer shares → EPS +25% → price +25% if the multiple does not change.</w:t>
      </w:r>
    </w:p>
    <w:p>
      <w:pPr>
        <w:pStyle w:val="Normal"/>
        <w:spacing w:before="0" w:after="170"/>
        <w:rPr/>
      </w:pPr>
      <w:r>
        <w:rPr>
          <w:color w:val="1A1A1A"/>
          <w:sz w:val="22"/>
          <w:szCs w:val="22"/>
        </w:rPr>
        <w:t>How to read the chart. A 10x P/E terminal price is applied to all equally, except the 20 P/E typical-company example. Retiring 90% of the stock multiplies EPS by ten; buying a second mine multiplies earnings by about two and leaves the share count unchanged. That is a five-to-one EPS advantage for the 90% buyback against buying a twin, and a ten-to-one advantage against doing nothing.</w:t>
      </w:r>
    </w:p>
    <w:p>
      <w:pPr>
        <w:pStyle w:val="Normal"/>
        <w:spacing w:before="0" w:after="170"/>
        <w:rPr/>
      </w:pPr>
      <w:r>
        <w:rPr>
          <w:color w:val="1A1A1A"/>
          <w:sz w:val="22"/>
          <w:szCs w:val="22"/>
        </w:rPr>
        <w:t>Price paid barely moves the 10x P/E cell. It shows up in the last two columns: dollars spent at $0.54 earn a 54% cash yield and a 170% four-year IRR; the same 90% retirement at a $1.52 blend earns a 19% yield and a 106% IRR. Extra cash used at the higher price also nicks interest income or creates modest debt, which is why year-4 EPS is $2.89 at $0.54 and $2.71 at $1.52.</w:t>
      </w:r>
    </w:p>
    <w:p>
      <w:pPr>
        <w:pStyle w:val="Normal"/>
        <w:spacing w:before="280" w:after="130"/>
        <w:rPr/>
      </w:pPr>
      <w:r>
        <w:rPr>
          <w:b/>
          <w:bCs/>
          <w:color w:val="1B4D3E"/>
          <w:sz w:val="28"/>
          <w:szCs w:val="28"/>
        </w:rPr>
        <w:t>Why do not all companies do big buybacks?</w:t>
      </w:r>
    </w:p>
    <w:p>
      <w:pPr>
        <w:pStyle w:val="Normal"/>
        <w:spacing w:before="0" w:after="170"/>
        <w:rPr/>
      </w:pPr>
      <w:r>
        <w:rPr>
          <w:color w:val="1A1A1A"/>
          <w:sz w:val="22"/>
          <w:szCs w:val="22"/>
        </w:rPr>
        <w:t>Generally, if they are highly profitable they should. But the bottom line in the chart shows a typical 20 P/E stock only gains a little compared to a buyback on a highly undervalued stock like Monument. In fact, in this case the typical 20 P/E stock gains less than 1% as much shareholder value as Monument does from a buyback, per dollar spent.</w:t>
      </w:r>
    </w:p>
    <w:p>
      <w:pPr>
        <w:pStyle w:val="Normal"/>
        <w:spacing w:before="280" w:after="130"/>
        <w:rPr>
          <w:b/>
          <w:bCs/>
          <w:color w:val="1B4D3E"/>
          <w:sz w:val="28"/>
          <w:szCs w:val="28"/>
        </w:rPr>
      </w:pPr>
      <w:r>
        <w:rPr>
          <w:b/>
          <w:bCs/>
          <w:color w:val="1B4D3E"/>
          <w:sz w:val="28"/>
          <w:szCs w:val="28"/>
        </w:rPr>
      </w:r>
    </w:p>
    <w:p>
      <w:pPr>
        <w:pStyle w:val="Normal"/>
        <w:spacing w:before="280" w:after="130"/>
        <w:rPr>
          <w:b/>
          <w:bCs/>
          <w:color w:val="1B4D3E"/>
          <w:sz w:val="28"/>
          <w:szCs w:val="28"/>
        </w:rPr>
      </w:pPr>
      <w:r>
        <w:rPr>
          <w:b/>
          <w:bCs/>
          <w:color w:val="1B4D3E"/>
          <w:sz w:val="28"/>
          <w:szCs w:val="28"/>
        </w:rPr>
      </w:r>
    </w:p>
    <w:p>
      <w:pPr>
        <w:pStyle w:val="Normal"/>
        <w:spacing w:before="280" w:after="130"/>
        <w:rPr>
          <w:b/>
          <w:bCs/>
          <w:color w:val="1B4D3E"/>
          <w:sz w:val="28"/>
          <w:szCs w:val="28"/>
        </w:rPr>
      </w:pPr>
      <w:r>
        <w:rPr>
          <w:b/>
          <w:bCs/>
          <w:color w:val="1B4D3E"/>
          <w:sz w:val="28"/>
          <w:szCs w:val="28"/>
        </w:rPr>
      </w:r>
    </w:p>
    <w:p>
      <w:pPr>
        <w:pStyle w:val="Normal"/>
        <w:spacing w:before="280" w:after="130"/>
        <w:rPr>
          <w:b/>
          <w:bCs/>
          <w:color w:val="1B4D3E"/>
          <w:sz w:val="28"/>
          <w:szCs w:val="28"/>
        </w:rPr>
      </w:pPr>
      <w:r>
        <w:rPr>
          <w:b/>
          <w:bCs/>
          <w:color w:val="1B4D3E"/>
          <w:sz w:val="28"/>
          <w:szCs w:val="28"/>
        </w:rPr>
        <w:t>Year-4 profit stack — 2nd Monument versus the $150 million build</w:t>
      </w:r>
    </w:p>
    <w:tbl>
      <w:tblPr>
        <w:tblW w:w="10800" w:type="dxa"/>
        <w:jc w:val="start"/>
        <w:tblInd w:w="0" w:type="dxa"/>
        <w:tblLayout w:type="fixed"/>
        <w:tblCellMar>
          <w:top w:w="100" w:type="dxa"/>
          <w:start w:w="140" w:type="dxa"/>
          <w:bottom w:w="100" w:type="dxa"/>
          <w:end w:w="140" w:type="dxa"/>
        </w:tblCellMar>
      </w:tblPr>
      <w:tblGrid>
        <w:gridCol w:w="2800"/>
        <w:gridCol w:w="3999"/>
        <w:gridCol w:w="4001"/>
      </w:tblGrid>
      <w:tr>
        <w:trPr>
          <w:tblHeader w:val="true"/>
        </w:trPr>
        <w:tc>
          <w:tcPr>
            <w:tcW w:w="2800" w:type="dxa"/>
            <w:tcBorders>
              <w:top w:val="single" w:sz="4" w:space="0" w:color="1B4D3E"/>
              <w:start w:val="single" w:sz="4" w:space="0" w:color="1B4D3E"/>
              <w:bottom w:val="single" w:sz="4" w:space="0" w:color="1B4D3E"/>
              <w:end w:val="single" w:sz="4" w:space="0" w:color="1B4D3E"/>
            </w:tcBorders>
            <w:shd w:color="auto" w:fill="1B4D3E" w:val="clear"/>
            <w:vAlign w:val="center"/>
          </w:tcPr>
          <w:p>
            <w:pPr>
              <w:pStyle w:val="Normal"/>
              <w:jc w:val="start"/>
              <w:rPr/>
            </w:pPr>
            <w:r>
              <w:rPr/>
            </w:r>
          </w:p>
        </w:tc>
        <w:tc>
          <w:tcPr>
            <w:tcW w:w="3999" w:type="dxa"/>
            <w:tcBorders>
              <w:top w:val="single" w:sz="4" w:space="0" w:color="1B4D3E"/>
              <w:start w:val="single" w:sz="4" w:space="0" w:color="1B4D3E"/>
              <w:bottom w:val="single" w:sz="4" w:space="0" w:color="1B4D3E"/>
              <w:end w:val="single" w:sz="4" w:space="0" w:color="1B4D3E"/>
            </w:tcBorders>
            <w:shd w:color="auto" w:fill="1B4D3E" w:val="clear"/>
            <w:vAlign w:val="center"/>
          </w:tcPr>
          <w:p>
            <w:pPr>
              <w:pStyle w:val="Normal"/>
              <w:jc w:val="center"/>
              <w:rPr/>
            </w:pPr>
            <w:r>
              <w:rPr>
                <w:b/>
                <w:bCs/>
                <w:color w:val="FFFFFF"/>
                <w:sz w:val="19"/>
                <w:szCs w:val="19"/>
              </w:rPr>
              <w:t>2nd Monument</w:t>
            </w:r>
          </w:p>
        </w:tc>
        <w:tc>
          <w:tcPr>
            <w:tcW w:w="4001" w:type="dxa"/>
            <w:tcBorders>
              <w:top w:val="single" w:sz="4" w:space="0" w:color="1B4D3E"/>
              <w:start w:val="single" w:sz="4" w:space="0" w:color="1B4D3E"/>
              <w:bottom w:val="single" w:sz="4" w:space="0" w:color="1B4D3E"/>
              <w:end w:val="single" w:sz="4" w:space="0" w:color="1B4D3E"/>
            </w:tcBorders>
            <w:shd w:color="auto" w:fill="1B4D3E" w:val="clear"/>
            <w:vAlign w:val="center"/>
          </w:tcPr>
          <w:p>
            <w:pPr>
              <w:pStyle w:val="Normal"/>
              <w:jc w:val="center"/>
              <w:rPr/>
            </w:pPr>
            <w:r>
              <w:rPr>
                <w:b/>
                <w:bCs/>
                <w:color w:val="FFFFFF"/>
                <w:sz w:val="19"/>
                <w:szCs w:val="19"/>
              </w:rPr>
              <w:t>$150 m build</w:t>
            </w:r>
          </w:p>
        </w:tc>
      </w:tr>
      <w:tr>
        <w:trPr/>
        <w:tc>
          <w:tcPr>
            <w:tcW w:w="2800" w:type="dxa"/>
            <w:tcBorders>
              <w:top w:val="single" w:sz="4" w:space="0" w:color="D9E3DE"/>
              <w:start w:val="single" w:sz="4" w:space="0" w:color="D9E3DE"/>
              <w:bottom w:val="single" w:sz="4" w:space="0" w:color="D9E3DE"/>
              <w:end w:val="single" w:sz="4" w:space="0" w:color="D9E3DE"/>
            </w:tcBorders>
            <w:shd w:color="auto" w:fill="FFFFFF" w:val="clear"/>
            <w:tcMar>
              <w:top w:w="110" w:type="dxa"/>
              <w:bottom w:w="110" w:type="dxa"/>
            </w:tcMar>
            <w:vAlign w:val="center"/>
          </w:tcPr>
          <w:p>
            <w:pPr>
              <w:pStyle w:val="Normal"/>
              <w:rPr/>
            </w:pPr>
            <w:r>
              <w:rPr>
                <w:b/>
                <w:bCs/>
                <w:color w:val="1A1A1A"/>
                <w:sz w:val="19"/>
                <w:szCs w:val="19"/>
              </w:rPr>
              <w:t>Years 1–3 incremental NI</w:t>
            </w:r>
          </w:p>
        </w:tc>
        <w:tc>
          <w:tcPr>
            <w:tcW w:w="3999" w:type="dxa"/>
            <w:tcBorders>
              <w:top w:val="single" w:sz="4" w:space="0" w:color="D9E3DE"/>
              <w:start w:val="single" w:sz="4" w:space="0" w:color="D9E3DE"/>
              <w:bottom w:val="single" w:sz="4" w:space="0" w:color="D9E3DE"/>
              <w:end w:val="single" w:sz="4" w:space="0" w:color="D9E3DE"/>
            </w:tcBorders>
            <w:shd w:color="auto" w:fill="FFFFFF" w:val="clear"/>
            <w:tcMar>
              <w:top w:w="110" w:type="dxa"/>
              <w:bottom w:w="110" w:type="dxa"/>
            </w:tcMar>
            <w:vAlign w:val="center"/>
          </w:tcPr>
          <w:p>
            <w:pPr>
              <w:pStyle w:val="Normal"/>
              <w:rPr/>
            </w:pPr>
            <w:r>
              <w:rPr>
                <w:b w:val="false"/>
                <w:bCs w:val="false"/>
                <w:color w:val="1A1A1A"/>
                <w:sz w:val="19"/>
                <w:szCs w:val="19"/>
              </w:rPr>
              <w:t>$100 million / year</w:t>
            </w:r>
          </w:p>
        </w:tc>
        <w:tc>
          <w:tcPr>
            <w:tcW w:w="4001" w:type="dxa"/>
            <w:tcBorders>
              <w:top w:val="single" w:sz="4" w:space="0" w:color="D9E3DE"/>
              <w:start w:val="single" w:sz="4" w:space="0" w:color="D9E3DE"/>
              <w:bottom w:val="single" w:sz="4" w:space="0" w:color="D9E3DE"/>
              <w:end w:val="single" w:sz="4" w:space="0" w:color="D9E3DE"/>
            </w:tcBorders>
            <w:shd w:color="auto" w:fill="FFFFFF" w:val="clear"/>
            <w:tcMar>
              <w:top w:w="110" w:type="dxa"/>
              <w:bottom w:w="110" w:type="dxa"/>
            </w:tcMar>
            <w:vAlign w:val="center"/>
          </w:tcPr>
          <w:p>
            <w:pPr>
              <w:pStyle w:val="Normal"/>
              <w:rPr/>
            </w:pPr>
            <w:r>
              <w:rPr>
                <w:b w:val="false"/>
                <w:bCs w:val="false"/>
                <w:color w:val="1A1A1A"/>
                <w:sz w:val="19"/>
                <w:szCs w:val="19"/>
              </w:rPr>
              <w:t>$0</w:t>
            </w:r>
          </w:p>
        </w:tc>
      </w:tr>
      <w:tr>
        <w:trPr/>
        <w:tc>
          <w:tcPr>
            <w:tcW w:w="2800" w:type="dxa"/>
            <w:tcBorders>
              <w:top w:val="single" w:sz="4" w:space="0" w:color="D9E3DE"/>
              <w:start w:val="single" w:sz="4" w:space="0" w:color="D9E3DE"/>
              <w:bottom w:val="single" w:sz="4" w:space="0" w:color="D9E3DE"/>
              <w:end w:val="single" w:sz="4" w:space="0" w:color="D9E3DE"/>
            </w:tcBorders>
            <w:shd w:color="auto" w:fill="F3F7F5" w:val="clear"/>
            <w:tcMar>
              <w:top w:w="110" w:type="dxa"/>
              <w:bottom w:w="110" w:type="dxa"/>
            </w:tcMar>
            <w:vAlign w:val="center"/>
          </w:tcPr>
          <w:p>
            <w:pPr>
              <w:pStyle w:val="Normal"/>
              <w:rPr/>
            </w:pPr>
            <w:r>
              <w:rPr>
                <w:b/>
                <w:bCs/>
                <w:color w:val="1A1A1A"/>
                <w:sz w:val="19"/>
                <w:szCs w:val="19"/>
              </w:rPr>
              <w:t>Year 4 incremental NI</w:t>
            </w:r>
          </w:p>
        </w:tc>
        <w:tc>
          <w:tcPr>
            <w:tcW w:w="3999" w:type="dxa"/>
            <w:tcBorders>
              <w:top w:val="single" w:sz="4" w:space="0" w:color="D9E3DE"/>
              <w:start w:val="single" w:sz="4" w:space="0" w:color="D9E3DE"/>
              <w:bottom w:val="single" w:sz="4" w:space="0" w:color="D9E3DE"/>
              <w:end w:val="single" w:sz="4" w:space="0" w:color="D9E3DE"/>
            </w:tcBorders>
            <w:shd w:color="auto" w:fill="F3F7F5" w:val="clear"/>
            <w:tcMar>
              <w:top w:w="110" w:type="dxa"/>
              <w:bottom w:w="110" w:type="dxa"/>
            </w:tcMar>
            <w:vAlign w:val="center"/>
          </w:tcPr>
          <w:p>
            <w:pPr>
              <w:pStyle w:val="Normal"/>
              <w:rPr/>
            </w:pPr>
            <w:r>
              <w:rPr>
                <w:b w:val="false"/>
                <w:bCs w:val="false"/>
                <w:color w:val="1A1A1A"/>
                <w:sz w:val="19"/>
                <w:szCs w:val="19"/>
              </w:rPr>
              <w:t>$100 million</w:t>
            </w:r>
          </w:p>
        </w:tc>
        <w:tc>
          <w:tcPr>
            <w:tcW w:w="4001" w:type="dxa"/>
            <w:tcBorders>
              <w:top w:val="single" w:sz="4" w:space="0" w:color="D9E3DE"/>
              <w:start w:val="single" w:sz="4" w:space="0" w:color="D9E3DE"/>
              <w:bottom w:val="single" w:sz="4" w:space="0" w:color="D9E3DE"/>
              <w:end w:val="single" w:sz="4" w:space="0" w:color="D9E3DE"/>
            </w:tcBorders>
            <w:shd w:color="auto" w:fill="F3F7F5" w:val="clear"/>
            <w:tcMar>
              <w:top w:w="110" w:type="dxa"/>
              <w:bottom w:w="110" w:type="dxa"/>
            </w:tcMar>
            <w:vAlign w:val="center"/>
          </w:tcPr>
          <w:p>
            <w:pPr>
              <w:pStyle w:val="Normal"/>
              <w:rPr/>
            </w:pPr>
            <w:r>
              <w:rPr>
                <w:b w:val="false"/>
                <w:bCs w:val="false"/>
                <w:color w:val="1A1A1A"/>
                <w:sz w:val="19"/>
                <w:szCs w:val="19"/>
              </w:rPr>
              <w:t>$26 million  (30 koz x $4,350 x 20%)</w:t>
            </w:r>
          </w:p>
        </w:tc>
      </w:tr>
      <w:tr>
        <w:trPr/>
        <w:tc>
          <w:tcPr>
            <w:tcW w:w="2800" w:type="dxa"/>
            <w:tcBorders>
              <w:top w:val="single" w:sz="4" w:space="0" w:color="D9E3DE"/>
              <w:start w:val="single" w:sz="4" w:space="0" w:color="D9E3DE"/>
              <w:bottom w:val="single" w:sz="4" w:space="0" w:color="D9E3DE"/>
              <w:end w:val="single" w:sz="4" w:space="0" w:color="D9E3DE"/>
            </w:tcBorders>
            <w:shd w:color="auto" w:fill="FFFFFF" w:val="clear"/>
            <w:tcMar>
              <w:top w:w="110" w:type="dxa"/>
              <w:bottom w:w="110" w:type="dxa"/>
            </w:tcMar>
            <w:vAlign w:val="center"/>
          </w:tcPr>
          <w:p>
            <w:pPr>
              <w:pStyle w:val="Normal"/>
              <w:rPr/>
            </w:pPr>
            <w:r>
              <w:rPr>
                <w:b/>
                <w:bCs/>
                <w:color w:val="1A1A1A"/>
                <w:sz w:val="19"/>
                <w:szCs w:val="19"/>
              </w:rPr>
              <w:t>Combined company Y4 NI</w:t>
            </w:r>
          </w:p>
        </w:tc>
        <w:tc>
          <w:tcPr>
            <w:tcW w:w="3999" w:type="dxa"/>
            <w:tcBorders>
              <w:top w:val="single" w:sz="4" w:space="0" w:color="D9E3DE"/>
              <w:start w:val="single" w:sz="4" w:space="0" w:color="D9E3DE"/>
              <w:bottom w:val="single" w:sz="4" w:space="0" w:color="D9E3DE"/>
              <w:end w:val="single" w:sz="4" w:space="0" w:color="D9E3DE"/>
            </w:tcBorders>
            <w:shd w:color="auto" w:fill="FFFFFF" w:val="clear"/>
            <w:tcMar>
              <w:top w:w="110" w:type="dxa"/>
              <w:bottom w:w="110" w:type="dxa"/>
            </w:tcMar>
            <w:vAlign w:val="center"/>
          </w:tcPr>
          <w:p>
            <w:pPr>
              <w:pStyle w:val="Normal"/>
              <w:rPr/>
            </w:pPr>
            <w:r>
              <w:rPr>
                <w:b w:val="false"/>
                <w:bCs w:val="false"/>
                <w:color w:val="1A1A1A"/>
                <w:sz w:val="19"/>
                <w:szCs w:val="19"/>
              </w:rPr>
              <w:t>$193 million after interest</w:t>
            </w:r>
          </w:p>
        </w:tc>
        <w:tc>
          <w:tcPr>
            <w:tcW w:w="4001" w:type="dxa"/>
            <w:tcBorders>
              <w:top w:val="single" w:sz="4" w:space="0" w:color="D9E3DE"/>
              <w:start w:val="single" w:sz="4" w:space="0" w:color="D9E3DE"/>
              <w:bottom w:val="single" w:sz="4" w:space="0" w:color="D9E3DE"/>
              <w:end w:val="single" w:sz="4" w:space="0" w:color="D9E3DE"/>
            </w:tcBorders>
            <w:shd w:color="auto" w:fill="FFFFFF" w:val="clear"/>
            <w:tcMar>
              <w:top w:w="110" w:type="dxa"/>
              <w:bottom w:w="110" w:type="dxa"/>
            </w:tcMar>
            <w:vAlign w:val="center"/>
          </w:tcPr>
          <w:p>
            <w:pPr>
              <w:pStyle w:val="Normal"/>
              <w:rPr/>
            </w:pPr>
            <w:r>
              <w:rPr>
                <w:b w:val="false"/>
                <w:bCs w:val="false"/>
                <w:color w:val="1A1A1A"/>
                <w:sz w:val="19"/>
                <w:szCs w:val="19"/>
              </w:rPr>
              <w:t>$120 million  ($100m Selinsing − $6m lost interest + $26m)</w:t>
            </w:r>
          </w:p>
        </w:tc>
      </w:tr>
      <w:tr>
        <w:trPr/>
        <w:tc>
          <w:tcPr>
            <w:tcW w:w="2800" w:type="dxa"/>
            <w:tcBorders>
              <w:top w:val="single" w:sz="4" w:space="0" w:color="D9E3DE"/>
              <w:start w:val="single" w:sz="4" w:space="0" w:color="D9E3DE"/>
              <w:bottom w:val="single" w:sz="4" w:space="0" w:color="D9E3DE"/>
              <w:end w:val="single" w:sz="4" w:space="0" w:color="D9E3DE"/>
            </w:tcBorders>
            <w:shd w:color="auto" w:fill="F3F7F5" w:val="clear"/>
            <w:tcMar>
              <w:top w:w="110" w:type="dxa"/>
              <w:bottom w:w="110" w:type="dxa"/>
            </w:tcMar>
            <w:vAlign w:val="center"/>
          </w:tcPr>
          <w:p>
            <w:pPr>
              <w:pStyle w:val="Normal"/>
              <w:rPr/>
            </w:pPr>
            <w:r>
              <w:rPr>
                <w:b/>
                <w:bCs/>
                <w:color w:val="1A1A1A"/>
                <w:sz w:val="19"/>
                <w:szCs w:val="19"/>
              </w:rPr>
              <w:t>Year-4 EPS</w:t>
            </w:r>
          </w:p>
        </w:tc>
        <w:tc>
          <w:tcPr>
            <w:tcW w:w="3999" w:type="dxa"/>
            <w:tcBorders>
              <w:top w:val="single" w:sz="4" w:space="0" w:color="D9E3DE"/>
              <w:start w:val="single" w:sz="4" w:space="0" w:color="D9E3DE"/>
              <w:bottom w:val="single" w:sz="4" w:space="0" w:color="D9E3DE"/>
              <w:end w:val="single" w:sz="4" w:space="0" w:color="D9E3DE"/>
            </w:tcBorders>
            <w:shd w:color="auto" w:fill="F3F7F5" w:val="clear"/>
            <w:tcMar>
              <w:top w:w="110" w:type="dxa"/>
              <w:bottom w:w="110" w:type="dxa"/>
            </w:tcMar>
            <w:vAlign w:val="center"/>
          </w:tcPr>
          <w:p>
            <w:pPr>
              <w:pStyle w:val="Normal"/>
              <w:rPr/>
            </w:pPr>
            <w:r>
              <w:rPr>
                <w:b w:val="false"/>
                <w:bCs w:val="false"/>
                <w:color w:val="1A1A1A"/>
                <w:sz w:val="19"/>
                <w:szCs w:val="19"/>
              </w:rPr>
              <w:t>$0.56</w:t>
            </w:r>
          </w:p>
        </w:tc>
        <w:tc>
          <w:tcPr>
            <w:tcW w:w="4001" w:type="dxa"/>
            <w:tcBorders>
              <w:top w:val="single" w:sz="4" w:space="0" w:color="D9E3DE"/>
              <w:start w:val="single" w:sz="4" w:space="0" w:color="D9E3DE"/>
              <w:bottom w:val="single" w:sz="4" w:space="0" w:color="D9E3DE"/>
              <w:end w:val="single" w:sz="4" w:space="0" w:color="D9E3DE"/>
            </w:tcBorders>
            <w:shd w:color="auto" w:fill="F3F7F5" w:val="clear"/>
            <w:tcMar>
              <w:top w:w="110" w:type="dxa"/>
              <w:bottom w:w="110" w:type="dxa"/>
            </w:tcMar>
            <w:vAlign w:val="center"/>
          </w:tcPr>
          <w:p>
            <w:pPr>
              <w:pStyle w:val="Normal"/>
              <w:rPr/>
            </w:pPr>
            <w:r>
              <w:rPr>
                <w:b w:val="false"/>
                <w:bCs w:val="false"/>
                <w:color w:val="1A1A1A"/>
                <w:sz w:val="19"/>
                <w:szCs w:val="19"/>
              </w:rPr>
              <w:t>$0.35</w:t>
            </w:r>
          </w:p>
        </w:tc>
      </w:tr>
    </w:tbl>
    <w:p>
      <w:pPr>
        <w:pStyle w:val="Normal"/>
        <w:spacing w:before="0" w:after="200"/>
        <w:rPr/>
      </w:pPr>
      <w:r>
        <w:rPr>
          <w:color w:val="1A1A1A"/>
          <w:sz w:val="22"/>
          <w:szCs w:val="22"/>
        </w:rPr>
        <w:t>The build's good year is still about one quarter of one year of a second Monument, and it arrived three years late.</w:t>
      </w:r>
    </w:p>
    <w:p>
      <w:pPr>
        <w:pStyle w:val="Normal"/>
        <w:spacing w:before="280" w:after="130"/>
        <w:rPr/>
      </w:pPr>
      <w:r>
        <w:rPr>
          <w:b/>
          <w:bCs/>
          <w:color w:val="1B4D3E"/>
          <w:sz w:val="28"/>
          <w:szCs w:val="28"/>
        </w:rPr>
        <w:t>5.  What this means in practice</w:t>
      </w:r>
    </w:p>
    <w:p>
      <w:pPr>
        <w:pStyle w:val="Normal"/>
        <w:spacing w:before="0" w:after="200"/>
        <w:rPr/>
      </w:pPr>
      <w:r>
        <w:rPr>
          <w:color w:val="1A1A1A"/>
          <w:sz w:val="22"/>
          <w:szCs w:val="22"/>
        </w:rPr>
        <w:t>Authorize a buyback. 90% of the company cannot be retired at $0.54 in late 2026, but a fair amount would have been, if acted upon. This opportunity is so exceptional it needs to be jumped on to reduce cost and compound earnings faster. The proposal is for 17%, but at anywhere near these prices Monument should try to buy more. The proposal does not force Monument to act, but the wise thing would be to exceed the 17%. It is referred to as a "Substantial Issuer Bid," and many know of it as a tender offer. There is no limit, time and percent wise, in Canada on this method.</w:t>
      </w:r>
    </w:p>
    <w:tbl>
      <w:tblPr>
        <w:tblW w:w="10800" w:type="dxa"/>
        <w:jc w:val="start"/>
        <w:tblInd w:w="0" w:type="dxa"/>
        <w:tblLayout w:type="fixed"/>
        <w:tblCellMar>
          <w:top w:w="200" w:type="dxa"/>
          <w:start w:w="240" w:type="dxa"/>
          <w:bottom w:w="200" w:type="dxa"/>
          <w:end w:w="240" w:type="dxa"/>
        </w:tblCellMar>
      </w:tblPr>
      <w:tblGrid>
        <w:gridCol w:w="10800"/>
      </w:tblGrid>
      <w:tr>
        <w:trPr/>
        <w:tc>
          <w:tcPr>
            <w:tcW w:w="10800" w:type="dxa"/>
            <w:tcBorders>
              <w:top w:val="single" w:sz="4" w:space="0" w:color="13241D"/>
              <w:start w:val="single" w:sz="4" w:space="0" w:color="13241D"/>
              <w:bottom w:val="single" w:sz="4" w:space="0" w:color="13241D"/>
              <w:end w:val="single" w:sz="4" w:space="0" w:color="13241D"/>
            </w:tcBorders>
            <w:shd w:color="auto" w:fill="13241D" w:val="clear"/>
          </w:tcPr>
          <w:p>
            <w:pPr>
              <w:pStyle w:val="Normal"/>
              <w:rPr/>
            </w:pPr>
            <w:r>
              <w:rPr>
                <w:b/>
                <w:bCs/>
                <w:color w:val="FFFFFF"/>
                <w:sz w:val="22"/>
                <w:szCs w:val="22"/>
              </w:rPr>
              <w:t xml:space="preserve">Bottom line.  </w:t>
            </w:r>
            <w:r>
              <w:rPr>
                <w:color w:val="FFFFFF"/>
                <w:sz w:val="22"/>
                <w:szCs w:val="22"/>
              </w:rPr>
              <w:t xml:space="preserve">Monument is already built, already profitable, and still priced as if it were a hope. Returning capital into that equity compounds per-share earnings immediately. Building a new 30,000-ounce mine </w:t>
            </w:r>
            <w:r>
              <w:rPr>
                <w:color w:val="FFFFFF"/>
                <w:sz w:val="22"/>
                <w:szCs w:val="22"/>
              </w:rPr>
              <w:t xml:space="preserve">may </w:t>
            </w:r>
            <w:r>
              <w:rPr>
                <w:color w:val="FFFFFF"/>
                <w:sz w:val="22"/>
                <w:szCs w:val="22"/>
              </w:rPr>
              <w:t>spend $150 million, waits three years, and in a generous year 4 still adds less profit than one quarter of a second Monument. Buying a second Monument would beat the build and would still lose, by a wide margin, to buying this Monument.</w:t>
            </w:r>
          </w:p>
        </w:tc>
      </w:tr>
    </w:tbl>
    <w:p>
      <w:pPr>
        <w:pStyle w:val="Normal"/>
        <w:spacing w:before="240" w:after="60"/>
        <w:rPr/>
      </w:pPr>
      <w:r>
        <w:rPr>
          <w:b/>
          <w:bCs/>
          <w:color w:val="1A1A1A"/>
          <w:sz w:val="19"/>
          <w:szCs w:val="19"/>
        </w:rPr>
        <w:t>Method notes</w:t>
      </w:r>
    </w:p>
    <w:p>
      <w:pPr>
        <w:pStyle w:val="Normal"/>
        <w:rPr/>
      </w:pPr>
      <w:r>
        <w:rPr>
          <w:color w:val="444444"/>
          <w:sz w:val="15"/>
          <w:szCs w:val="15"/>
        </w:rPr>
        <w:t>Shares outstanding 346.3 million. Run-rate net income $100 million ($0.29 per share). Year-4 price = 10 x year-4 EPS. $0.54 is the July 2026 price when the buyback was first proposed to the company. $0.69 is the 16 September 2026 close. The $1.52 blend starts at $0.85 in November 2026 and rises toward about $2.80 so the volume-weighted average of all shares purchased is $1.52. IRR from $0.69 is the four-year compound rate from the 16 September 2026 close to the year-4 10x P/E price. IRR from price paid is the same terminal price measured from the company's average buyback cost. Yield on cash spent is the annual earnings attached to the retired slice divided by cash used to retire it. Mine-build year-4 profit is 30,000 ounces x $4,350 x 20% = $26.1 million. Interest on displaced cash 4%; interest on debt 8%. No residual value is assigned to Burnakura, plant salvage, or a Selinsing mine-life extension; those would raise every row.</w:t>
      </w:r>
    </w:p>
    <w:p>
      <w:pPr>
        <w:pStyle w:val="Normal"/>
        <w:rPr/>
      </w:pPr>
      <w:r>
        <w:rPr/>
      </w:r>
    </w:p>
    <w:p>
      <w:pPr>
        <w:pStyle w:val="Normal"/>
        <w:spacing w:before="0" w:after="130"/>
        <w:rPr/>
      </w:pPr>
      <w:r>
        <w:rPr>
          <w:b/>
          <w:bCs/>
          <w:color w:val="1B4D3E"/>
          <w:sz w:val="28"/>
          <w:szCs w:val="28"/>
        </w:rPr>
        <w:t>The Proposal</w:t>
      </w:r>
    </w:p>
    <w:p>
      <w:pPr>
        <w:pStyle w:val="Normal"/>
        <w:spacing w:before="0" w:after="200"/>
        <w:jc w:val="both"/>
        <w:rPr>
          <w:sz w:val="21"/>
          <w:szCs w:val="21"/>
        </w:rPr>
      </w:pPr>
      <w:r>
        <w:rPr>
          <w:color w:val="1A1A1A"/>
          <w:sz w:val="21"/>
          <w:szCs w:val="21"/>
        </w:rPr>
        <w:t>RESOLVED THAT: The shareholders of Monument Mining Limited recommend that the Board of Directors consider, and if it determines it is in the best interests of the Company and permitted under the Business Corporations Act (British Columbia), the Company's articles, applicable securities laws and TSX Venture Exchange rules, authorize and commence a substantial issuer bid to purchase for cancellation up to 60,000,000 common shares (or such number as equals approximately 17% of the common shares outstanding at commencement, adjusted for any subdivision, consolidation or similar change of share capital), at a price equal to the lower of: (a) 10% above the 10-day volume-weighted average trading price of the common shares on the TSX Venture Exchange immediately prior to commencement of the bid; and (b) CA$1.35 per share.</w:t>
      </w:r>
    </w:p>
    <w:p>
      <w:pPr>
        <w:pStyle w:val="Normal"/>
        <w:spacing w:before="0" w:after="170"/>
        <w:jc w:val="both"/>
        <w:rPr>
          <w:color w:val="1A1A1A"/>
          <w:sz w:val="21"/>
          <w:szCs w:val="21"/>
        </w:rPr>
      </w:pPr>
      <w:r>
        <w:rPr>
          <w:color w:val="1A1A1A"/>
          <w:sz w:val="21"/>
          <w:szCs w:val="21"/>
        </w:rPr>
        <w:t>This resolution is advisory and does not amend the articles or bind the directors if they reasonably conclude that a bid would fail the solvency test in section 78 of the Act or Article 7.2 of the Company's articles, or would not comply with National Instrument 62-104 — Take-Over Bids and Issuer Bids or Exchange requirements. A written statement in support of this proposal is attached and forms part of this submission pursuant to s. 188(2) of the Act. The proposal and supporting statement together do not exceed 1,000 words.</w:t>
      </w:r>
    </w:p>
    <w:p>
      <w:pPr>
        <w:pStyle w:val="Normal"/>
        <w:spacing w:before="0" w:after="170"/>
        <w:jc w:val="both"/>
        <w:rPr>
          <w:color w:val="1A1A1A"/>
          <w:sz w:val="21"/>
          <w:szCs w:val="21"/>
        </w:rPr>
      </w:pPr>
      <w:r>
        <w:rPr>
          <w:color w:val="1A1A1A"/>
          <w:sz w:val="21"/>
          <w:szCs w:val="21"/>
        </w:rPr>
      </w:r>
    </w:p>
    <w:p>
      <w:pPr>
        <w:pStyle w:val="Normal"/>
        <w:spacing w:before="0" w:after="170"/>
        <w:jc w:val="both"/>
        <w:rPr>
          <w:b/>
          <w:bCs/>
          <w:color w:val="1A1A1A"/>
          <w:sz w:val="21"/>
          <w:szCs w:val="21"/>
        </w:rPr>
      </w:pPr>
      <w:r>
        <w:rPr>
          <w:b/>
          <w:bCs/>
          <w:color w:val="1A1A1A"/>
          <w:sz w:val="21"/>
          <w:szCs w:val="21"/>
        </w:rPr>
        <w:t xml:space="preserve">Darp Research </w:t>
      </w:r>
    </w:p>
    <w:sectPr>
      <w:headerReference w:type="even" r:id="rId2"/>
      <w:headerReference w:type="default" r:id="rId3"/>
      <w:headerReference w:type="first" r:id="rId4"/>
      <w:footerReference w:type="even" r:id="rId5"/>
      <w:footerReference w:type="default" r:id="rId6"/>
      <w:footerReference w:type="first" r:id="rId7"/>
      <w:type w:val="nextPage"/>
      <w:pgSz w:w="12240" w:h="15840"/>
      <w:pgMar w:left="720" w:right="720" w:gutter="0" w:header="708" w:top="765" w:footer="708" w:bottom="765"/>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Liberation Sans">
    <w:altName w:val="Arial"/>
    <w:charset w:val="00" w:characterSet="windows-1252"/>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pBdr>
        <w:top w:val="single" w:sz="24" w:space="8" w:color="1B4D3E"/>
      </w:pBdr>
      <w:spacing w:before="40" w:after="0"/>
      <w:rPr/>
    </w:pPr>
    <w:r>
      <w:rPr>
        <w:color w:val="444444"/>
        <w:sz w:val="16"/>
        <w:szCs w:val="16"/>
      </w:rPr>
      <w:t xml:space="preserve">Page </w:t>
    </w:r>
    <w:r>
      <w:rPr>
        <w:color w:val="1A1A1A"/>
        <w:sz w:val="22"/>
        <w:szCs w:val="22"/>
      </w:rPr>
      <w:fldChar w:fldCharType="begin"/>
    </w:r>
    <w:r>
      <w:rPr>
        <w:color w:val="1A1A1A"/>
        <w:sz w:val="22"/>
        <w:szCs w:val="22"/>
      </w:rPr>
      <w:instrText xml:space="preserve"> PAGE </w:instrText>
    </w:r>
    <w:r>
      <w:rPr>
        <w:color w:val="1A1A1A"/>
        <w:sz w:val="22"/>
        <w:szCs w:val="22"/>
      </w:rPr>
      <w:fldChar w:fldCharType="separate"/>
    </w:r>
    <w:r>
      <w:rPr>
        <w:color w:val="1A1A1A"/>
        <w:sz w:val="22"/>
        <w:szCs w:val="22"/>
      </w:rPr>
      <w:t>2</w:t>
    </w:r>
    <w:r>
      <w:rPr>
        <w:color w:val="1A1A1A"/>
        <w:sz w:val="22"/>
        <w:szCs w:val="22"/>
      </w:rPr>
      <w:fldChar w:fldCharType="end"/>
    </w:r>
    <w:r>
      <w:rPr>
        <w:color w:val="444444"/>
        <w:sz w:val="16"/>
        <w:szCs w:val="16"/>
      </w:rPr>
      <w:t xml:space="preserve"> of </w:t>
    </w:r>
    <w:r>
      <w:rPr>
        <w:color w:val="1A1A1A"/>
        <w:sz w:val="22"/>
        <w:szCs w:val="22"/>
      </w:rPr>
      <w:fldChar w:fldCharType="begin"/>
    </w:r>
    <w:r>
      <w:rPr>
        <w:color w:val="1A1A1A"/>
        <w:sz w:val="22"/>
        <w:szCs w:val="22"/>
      </w:rPr>
      <w:instrText xml:space="preserve"> NUMPAGES </w:instrText>
    </w:r>
    <w:r>
      <w:rPr>
        <w:color w:val="1A1A1A"/>
        <w:sz w:val="22"/>
        <w:szCs w:val="22"/>
      </w:rPr>
      <w:fldChar w:fldCharType="separate"/>
    </w:r>
    <w:r>
      <w:rPr>
        <w:color w:val="1A1A1A"/>
        <w:sz w:val="22"/>
        <w:szCs w:val="22"/>
      </w:rPr>
      <w:t>3</w:t>
    </w:r>
    <w:r>
      <w:rPr>
        <w:color w:val="1A1A1A"/>
        <w:sz w:val="22"/>
        <w:szCs w:val="22"/>
      </w:rPr>
      <w:fldChar w:fldCharType="end"/>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pBdr>
        <w:top w:val="single" w:sz="24" w:space="8" w:color="1B4D3E"/>
      </w:pBdr>
      <w:spacing w:before="40" w:after="0"/>
      <w:rPr/>
    </w:pPr>
    <w:r>
      <w:rPr>
        <w:color w:val="444444"/>
        <w:sz w:val="16"/>
        <w:szCs w:val="16"/>
      </w:rPr>
      <w:t xml:space="preserve">Page </w:t>
    </w:r>
    <w:r>
      <w:rPr>
        <w:color w:val="1A1A1A"/>
        <w:sz w:val="22"/>
        <w:szCs w:val="22"/>
      </w:rPr>
      <w:fldChar w:fldCharType="begin"/>
    </w:r>
    <w:r>
      <w:rPr>
        <w:color w:val="1A1A1A"/>
        <w:sz w:val="22"/>
        <w:szCs w:val="22"/>
      </w:rPr>
      <w:instrText xml:space="preserve"> PAGE </w:instrText>
    </w:r>
    <w:r>
      <w:rPr>
        <w:color w:val="1A1A1A"/>
        <w:sz w:val="22"/>
        <w:szCs w:val="22"/>
      </w:rPr>
      <w:fldChar w:fldCharType="separate"/>
    </w:r>
    <w:r>
      <w:rPr>
        <w:color w:val="1A1A1A"/>
        <w:sz w:val="22"/>
        <w:szCs w:val="22"/>
      </w:rPr>
      <w:t>2</w:t>
    </w:r>
    <w:r>
      <w:rPr>
        <w:color w:val="1A1A1A"/>
        <w:sz w:val="22"/>
        <w:szCs w:val="22"/>
      </w:rPr>
      <w:fldChar w:fldCharType="end"/>
    </w:r>
    <w:r>
      <w:rPr>
        <w:color w:val="444444"/>
        <w:sz w:val="16"/>
        <w:szCs w:val="16"/>
      </w:rPr>
      <w:t xml:space="preserve"> of </w:t>
    </w:r>
    <w:r>
      <w:rPr>
        <w:color w:val="1A1A1A"/>
        <w:sz w:val="22"/>
        <w:szCs w:val="22"/>
      </w:rPr>
      <w:fldChar w:fldCharType="begin"/>
    </w:r>
    <w:r>
      <w:rPr>
        <w:color w:val="1A1A1A"/>
        <w:sz w:val="22"/>
        <w:szCs w:val="22"/>
      </w:rPr>
      <w:instrText xml:space="preserve"> NUMPAGES </w:instrText>
    </w:r>
    <w:r>
      <w:rPr>
        <w:color w:val="1A1A1A"/>
        <w:sz w:val="22"/>
        <w:szCs w:val="22"/>
      </w:rPr>
      <w:fldChar w:fldCharType="separate"/>
    </w:r>
    <w:r>
      <w:rPr>
        <w:color w:val="1A1A1A"/>
        <w:sz w:val="22"/>
        <w:szCs w:val="22"/>
      </w:rPr>
      <w:t>3</w:t>
    </w:r>
    <w:r>
      <w:rPr>
        <w:color w:val="1A1A1A"/>
        <w:sz w:val="22"/>
        <w:szCs w:val="22"/>
      </w:rPr>
      <w:fldChar w:fldCharType="end"/>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pBdr>
        <w:bottom w:val="single" w:sz="24" w:space="4" w:color="1B4D3E"/>
      </w:pBdr>
      <w:spacing w:before="0" w:after="60"/>
      <w:rPr/>
    </w:pPr>
    <w:r>
      <w:rPr/>
    </w:r>
  </w:p>
  <w:p>
    <w:pPr>
      <w:pStyle w:val="Normal"/>
      <w:rPr/>
    </w:pPr>
    <w:r>
      <w:rPr>
        <w:b/>
        <w:bCs/>
        <w:color w:val="1B4D3E"/>
        <w:sz w:val="20"/>
        <w:szCs w:val="20"/>
      </w:rPr>
      <w:t xml:space="preserve">MONUMENT MINING LIMITED   ·   TSX-V: MMY  </w:t>
    </w:r>
    <w:r>
      <w:rPr>
        <w:b/>
        <w:bCs/>
        <w:color w:val="1B4D3E"/>
        <w:sz w:val="20"/>
        <w:szCs w:val="20"/>
      </w:rPr>
      <w:t xml:space="preserve">OTC: MMTMF </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pBdr>
        <w:bottom w:val="single" w:sz="24" w:space="4" w:color="1B4D3E"/>
      </w:pBdr>
      <w:spacing w:before="0" w:after="60"/>
      <w:rPr/>
    </w:pPr>
    <w:r>
      <w:rPr/>
    </w:r>
  </w:p>
  <w:p>
    <w:pPr>
      <w:pStyle w:val="Normal"/>
      <w:rPr/>
    </w:pPr>
    <w:r>
      <w:rPr>
        <w:b/>
        <w:bCs/>
        <w:color w:val="1B4D3E"/>
        <w:sz w:val="20"/>
        <w:szCs w:val="20"/>
      </w:rPr>
      <w:t xml:space="preserve">MONUMENT MINING LIMITED   ·   TSX-V: MMY  </w:t>
    </w:r>
    <w:r>
      <w:rPr>
        <w:b/>
        <w:bCs/>
        <w:color w:val="1B4D3E"/>
        <w:sz w:val="20"/>
        <w:szCs w:val="20"/>
      </w:rPr>
      <w:t xml:space="preserve">OTC: MMTMF </w:t>
    </w:r>
  </w:p>
</w:hdr>
</file>

<file path=word/settings.xml><?xml version="1.0" encoding="utf-8"?>
<w:settings xmlns:w="http://schemas.openxmlformats.org/wordprocessingml/2006/main">
  <w:zoom w:percent="200"/>
  <w:defaultTabStop w:val="720"/>
  <w:autoHyphenation w:val="true"/>
  <w:hyphenationZone w:val="0"/>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NSimSun" w:cs="Lucida Sans"/>
        <w:lang w:val="en-US" w:eastAsia="zh-CN" w:bidi="hi-IN"/>
      </w:rPr>
    </w:rPrDefault>
    <w:pPrDefault>
      <w:pPr>
        <w:suppressAutoHyphens w:val="true"/>
      </w:pPr>
    </w:pPrDefault>
  </w:docDefaults>
  <w:style w:type="paragraph" w:styleId="Normal">
    <w:name w:val="Normal"/>
    <w:qFormat/>
    <w:pPr>
      <w:widowControl/>
      <w:bidi w:val="0"/>
      <w:spacing w:before="0" w:after="0"/>
      <w:jc w:val="start"/>
    </w:pPr>
    <w:rPr>
      <w:rFonts w:ascii="Times New Roman" w:hAnsi="Times New Roman" w:eastAsia="NSimSun" w:cs="Lucida Sans"/>
      <w:color w:val="auto"/>
      <w:kern w:val="0"/>
      <w:sz w:val="20"/>
      <w:szCs w:val="20"/>
      <w:lang w:val="en-US" w:eastAsia="zh-CN" w:bidi="hi-IN"/>
    </w:rPr>
  </w:style>
  <w:style w:type="paragraph" w:styleId="Heading1">
    <w:name w:val="heading 1"/>
    <w:basedOn w:val="Heading"/>
    <w:qFormat/>
    <w:pPr/>
    <w:rPr>
      <w:color w:val="2E74B5"/>
      <w:sz w:val="32"/>
      <w:szCs w:val="32"/>
    </w:rPr>
  </w:style>
  <w:style w:type="paragraph" w:styleId="Heading2">
    <w:name w:val="heading 2"/>
    <w:basedOn w:val="Heading"/>
    <w:qFormat/>
    <w:pPr/>
    <w:rPr>
      <w:color w:val="2E74B5"/>
      <w:sz w:val="26"/>
      <w:szCs w:val="26"/>
    </w:rPr>
  </w:style>
  <w:style w:type="paragraph" w:styleId="Heading3">
    <w:name w:val="heading 3"/>
    <w:basedOn w:val="Heading"/>
    <w:qFormat/>
    <w:pPr/>
    <w:rPr>
      <w:color w:val="1F4D78"/>
      <w:sz w:val="24"/>
      <w:szCs w:val="24"/>
    </w:rPr>
  </w:style>
  <w:style w:type="paragraph" w:styleId="Heading4">
    <w:name w:val="heading 4"/>
    <w:basedOn w:val="Heading"/>
    <w:qFormat/>
    <w:pPr/>
    <w:rPr>
      <w:i/>
      <w:iCs/>
      <w:color w:val="2E74B5"/>
    </w:rPr>
  </w:style>
  <w:style w:type="paragraph" w:styleId="Heading5">
    <w:name w:val="heading 5"/>
    <w:basedOn w:val="Heading"/>
    <w:qFormat/>
    <w:pPr/>
    <w:rPr>
      <w:color w:val="2E74B5"/>
    </w:rPr>
  </w:style>
  <w:style w:type="paragraph" w:styleId="Heading6">
    <w:name w:val="heading 6"/>
    <w:basedOn w:val="Heading"/>
    <w:qFormat/>
    <w:pPr/>
    <w:rPr>
      <w:color w:val="1F4D78"/>
    </w:rPr>
  </w:style>
  <w:style w:type="character" w:styleId="Hyperlink">
    <w:name w:val="Hyperlink"/>
    <w:uiPriority w:val="99"/>
    <w:unhideWhenUsed/>
    <w:rPr>
      <w:color w:val="0563C1"/>
      <w:u w:val="single"/>
    </w:rPr>
  </w:style>
  <w:style w:type="character" w:styleId="FootnoteCharacters">
    <w:name w:val="Footnote Characters"/>
    <w:uiPriority w:val="99"/>
    <w:semiHidden/>
    <w:unhideWhenUsed/>
    <w:qFormat/>
    <w:rPr>
      <w:vertAlign w:val="superscript"/>
    </w:rPr>
  </w:style>
  <w:style w:type="character" w:styleId="FootnoteReference">
    <w:name w:val="footnote reference"/>
    <w:rPr>
      <w:vertAlign w:val="superscript"/>
    </w:rPr>
  </w:style>
  <w:style w:type="character" w:styleId="FootnoteTextChar">
    <w:name w:val="Footnote Text Char"/>
    <w:link w:val="FootnoteText"/>
    <w:uiPriority w:val="99"/>
    <w:semiHidden/>
    <w:unhideWhenUsed/>
    <w:qFormat/>
    <w:rPr>
      <w:sz w:val="20"/>
      <w:szCs w:val="20"/>
    </w:rPr>
  </w:style>
  <w:style w:type="character" w:styleId="EndnoteCharacters">
    <w:name w:val="Endnote Characters"/>
    <w:uiPriority w:val="99"/>
    <w:semiHidden/>
    <w:unhideWhenUsed/>
    <w:qFormat/>
    <w:rPr>
      <w:vertAlign w:val="superscript"/>
    </w:rPr>
  </w:style>
  <w:style w:type="character" w:styleId="EndnoteReference">
    <w:name w:val="endnote reference"/>
    <w:rPr>
      <w:vertAlign w:val="superscript"/>
    </w:rPr>
  </w:style>
  <w:style w:type="character" w:styleId="EndnoteTextChar">
    <w:name w:val="Endnote Text Char"/>
    <w:link w:val="EndnoteText"/>
    <w:uiPriority w:val="99"/>
    <w:semiHidden/>
    <w:unhideWhenUsed/>
    <w:qFormat/>
    <w:rPr>
      <w:sz w:val="20"/>
      <w:szCs w:val="20"/>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Title">
    <w:name w:val="Title"/>
    <w:basedOn w:val="Heading"/>
    <w:qFormat/>
    <w:pPr/>
    <w:rPr>
      <w:sz w:val="56"/>
      <w:szCs w:val="56"/>
    </w:rPr>
  </w:style>
  <w:style w:type="paragraph" w:styleId="StrongEmphasis">
    <w:name w:val="Strong Emphasis"/>
    <w:qFormat/>
    <w:pPr>
      <w:widowControl/>
      <w:bidi w:val="0"/>
      <w:spacing w:before="0" w:after="0"/>
      <w:jc w:val="start"/>
    </w:pPr>
    <w:rPr>
      <w:rFonts w:ascii="Times New Roman" w:hAnsi="Times New Roman" w:eastAsia="NSimSun" w:cs="Lucida Sans"/>
      <w:b/>
      <w:bCs/>
      <w:color w:val="auto"/>
      <w:kern w:val="0"/>
      <w:sz w:val="20"/>
      <w:szCs w:val="20"/>
      <w:lang w:val="en-US" w:eastAsia="zh-CN" w:bidi="hi-IN"/>
    </w:rPr>
  </w:style>
  <w:style w:type="paragraph" w:styleId="ListParagraph">
    <w:name w:val="List Paragraph"/>
    <w:qFormat/>
    <w:pPr>
      <w:widowControl/>
      <w:bidi w:val="0"/>
      <w:spacing w:before="0" w:after="0"/>
      <w:jc w:val="start"/>
    </w:pPr>
    <w:rPr>
      <w:rFonts w:ascii="Times New Roman" w:hAnsi="Times New Roman" w:eastAsia="NSimSun" w:cs="Lucida Sans"/>
      <w:color w:val="auto"/>
      <w:kern w:val="0"/>
      <w:sz w:val="20"/>
      <w:szCs w:val="20"/>
      <w:lang w:val="en-US" w:eastAsia="zh-CN" w:bidi="hi-IN"/>
    </w:rPr>
  </w:style>
  <w:style w:type="paragraph" w:styleId="FootnoteText">
    <w:name w:val="footnote text"/>
    <w:basedOn w:val="Normal"/>
    <w:link w:val="FootnoteTextChar"/>
    <w:uiPriority w:val="99"/>
    <w:semiHidden/>
    <w:unhideWhenUsed/>
    <w:pPr>
      <w:spacing w:lineRule="auto" w:line="240" w:before="0" w:after="0"/>
    </w:pPr>
    <w:rPr>
      <w:sz w:val="20"/>
      <w:szCs w:val="20"/>
    </w:rPr>
  </w:style>
  <w:style w:type="paragraph" w:styleId="EndnoteText">
    <w:name w:val="endnote text"/>
    <w:basedOn w:val="Normal"/>
    <w:link w:val="EndnoteTextChar"/>
    <w:uiPriority w:val="99"/>
    <w:semiHidden/>
    <w:unhideWhenUsed/>
    <w:pPr>
      <w:spacing w:lineRule="auto" w:line="240" w:before="0" w:after="0"/>
    </w:pPr>
    <w:rPr>
      <w:sz w:val="20"/>
      <w:szCs w:val="20"/>
    </w:rPr>
  </w:style>
  <w:style w:type="paragraph" w:styleId="HeaderandFooter">
    <w:name w:val="Header and Footer"/>
    <w:basedOn w:val="Normal"/>
    <w:qFormat/>
    <w:pPr/>
    <w:rPr/>
  </w:style>
  <w:style w:type="paragraph" w:styleId="Header">
    <w:name w:val="header"/>
    <w:basedOn w:val="HeaderandFooter"/>
    <w:pPr/>
    <w:rPr/>
  </w:style>
  <w:style w:type="paragraph" w:styleId="Footer">
    <w:name w:val="footer"/>
    <w:basedOn w:val="HeaderandFooter"/>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23</TotalTime>
  <Application>LibreOffice/26.2.5.2$Windows_X86_64 LibreOffice_project/cd7284b4cbbfeb507e630c1aac019f4157393acb</Application>
  <AppVersion>15.0000</AppVersion>
  <Pages>3</Pages>
  <Words>1791</Words>
  <Characters>8286</Characters>
  <CharactersWithSpaces>9950</CharactersWithSpaces>
  <Paragraphs>150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2026-09-17T16:57:28Z</dcterms:created>
  <dc:creator>Un-named</dc:creator>
  <dc:description/>
  <dc:language>en-US</dc:language>
  <cp:lastModifiedBy/>
  <dcterms:modified xsi:type="dcterms:W3CDTF">2026-09-17T13:38:31Z</dcterms:modified>
  <cp:revision>5</cp:revision>
  <dc:subject/>
  <dc:title/>
</cp:coreProperties>
</file>